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72"/>
          <w:szCs w:val="72"/>
          <w:highlight w:val="none"/>
        </w:rPr>
      </w:pPr>
      <w:bookmarkStart w:id="0" w:name="_Toc15377193"/>
      <w:bookmarkStart w:id="1" w:name="_Toc15396475"/>
      <w:bookmarkStart w:id="2" w:name="_Toc15396597"/>
      <w:bookmarkStart w:id="3" w:name="_Toc15378441"/>
      <w:bookmarkStart w:id="4" w:name="_Toc15377425"/>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7194"/>
      <w:bookmarkStart w:id="7" w:name="_Toc15377426"/>
      <w:bookmarkStart w:id="8" w:name="_Toc15378442"/>
      <w:bookmarkStart w:id="9" w:name="_Toc15396476"/>
      <w:bookmarkStart w:id="10" w:name="_Toc15396598"/>
      <w:r>
        <w:rPr>
          <w:rFonts w:hint="eastAsia" w:ascii="方正小标宋简体" w:hAnsi="方正小标宋简体" w:eastAsia="方正小标宋简体" w:cs="方正小标宋简体"/>
          <w:color w:val="auto"/>
          <w:sz w:val="72"/>
          <w:szCs w:val="72"/>
          <w:highlight w:val="none"/>
          <w:lang w:val="en-US" w:eastAsia="zh-CN"/>
        </w:rPr>
        <w:t>泸县</w:t>
      </w:r>
      <w:bookmarkEnd w:id="5"/>
      <w:bookmarkStart w:id="11" w:name="_Toc15306268"/>
      <w:r>
        <w:rPr>
          <w:rFonts w:hint="eastAsia" w:ascii="方正小标宋简体" w:hAnsi="方正小标宋简体" w:eastAsia="方正小标宋简体" w:cs="方正小标宋简体"/>
          <w:color w:val="auto"/>
          <w:sz w:val="72"/>
          <w:szCs w:val="72"/>
          <w:highlight w:val="none"/>
          <w:lang w:eastAsia="zh-CN"/>
        </w:rPr>
        <w:t>红十字会</w:t>
      </w: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1"/>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13</w:t>
      </w:r>
      <w:r>
        <w:rPr>
          <w:rFonts w:hint="eastAsia"/>
          <w:color w:val="auto"/>
          <w:highlight w:val="none"/>
        </w:rPr>
        <w:t>日</w:t>
      </w:r>
    </w:p>
    <w:p>
      <w:pPr>
        <w:rPr>
          <w:color w:val="auto"/>
          <w:highlight w:val="none"/>
        </w:rPr>
      </w:pPr>
    </w:p>
    <w:p>
      <w:pPr>
        <w:pStyle w:val="11"/>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r>
        <w:rPr>
          <w:rFonts w:hint="eastAsia" w:ascii="Times New Roman" w:hAnsi="Times New Roman" w:eastAsia="宋体" w:cs="Times New Roman"/>
          <w:color w:val="auto"/>
          <w:kern w:val="2"/>
          <w:sz w:val="24"/>
          <w:szCs w:val="24"/>
          <w:highlight w:val="none"/>
          <w:lang w:val="en-US" w:eastAsia="zh-CN" w:bidi="ar-SA"/>
        </w:rPr>
        <w:t>························（ 4 ）</w:t>
      </w:r>
    </w:p>
    <w:p>
      <w:pPr>
        <w:pStyle w:val="12"/>
        <w:adjustRightInd w:val="0"/>
        <w:snapToGrid w:val="0"/>
        <w:spacing w:line="440" w:lineRule="exact"/>
        <w:jc w:val="left"/>
        <w:rPr>
          <w:rFonts w:hint="default" w:ascii="仿宋" w:hAnsi="仿宋" w:eastAsia="仿宋"/>
          <w:color w:val="auto"/>
          <w:sz w:val="24"/>
          <w:highlight w:val="none"/>
          <w:lang w:val="en-US"/>
        </w:rPr>
      </w:pPr>
      <w:r>
        <w:rPr>
          <w:rFonts w:hint="eastAsia"/>
          <w:color w:val="auto"/>
          <w:sz w:val="24"/>
          <w:highlight w:val="none"/>
        </w:rPr>
        <w:t>一、</w:t>
      </w:r>
      <w:r>
        <w:rPr>
          <w:rFonts w:hint="eastAsia"/>
          <w:color w:val="auto"/>
          <w:sz w:val="24"/>
          <w:highlight w:val="none"/>
          <w:lang w:eastAsia="zh-CN"/>
        </w:rPr>
        <w:t>部门职责</w:t>
      </w:r>
      <w:r>
        <w:rPr>
          <w:rFonts w:hint="eastAsia"/>
          <w:color w:val="auto"/>
          <w:sz w:val="24"/>
          <w:highlight w:val="none"/>
          <w:lang w:val="en-US" w:eastAsia="zh-CN"/>
        </w:rPr>
        <w:t>·························</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 xml:space="preserve"> 4 </w:t>
      </w:r>
      <w:r>
        <w:rPr>
          <w:rFonts w:hint="eastAsia" w:ascii="Times New Roman" w:hAnsi="Times New Roman" w:eastAsia="宋体" w:cs="Times New Roman"/>
          <w:color w:val="auto"/>
          <w:kern w:val="2"/>
          <w:sz w:val="24"/>
          <w:szCs w:val="24"/>
          <w:highlight w:val="none"/>
          <w:lang w:val="en-US" w:eastAsia="zh-CN" w:bidi="ar-SA"/>
        </w:rPr>
        <w:t>）</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二、机构设置</w:t>
      </w:r>
      <w:r>
        <w:rPr>
          <w:rFonts w:hint="eastAsia"/>
          <w:color w:val="auto"/>
          <w:sz w:val="24"/>
          <w:highlight w:val="none"/>
          <w:lang w:val="en-US" w:eastAsia="zh-CN"/>
        </w:rPr>
        <w:t>·························</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 xml:space="preserve"> 5 </w:t>
      </w:r>
      <w:r>
        <w:rPr>
          <w:rFonts w:hint="eastAsia" w:ascii="Times New Roman" w:hAnsi="Times New Roman" w:eastAsia="宋体" w:cs="Times New Roman"/>
          <w:color w:val="auto"/>
          <w:kern w:val="2"/>
          <w:sz w:val="24"/>
          <w:szCs w:val="24"/>
          <w:highlight w:val="none"/>
          <w:lang w:val="en-US" w:eastAsia="zh-CN" w:bidi="ar-SA"/>
        </w:rPr>
        <w:t>）</w:t>
      </w:r>
    </w:p>
    <w:p>
      <w:pPr>
        <w:pStyle w:val="11"/>
        <w:adjustRightInd w:val="0"/>
        <w:snapToGrid w:val="0"/>
        <w:spacing w:before="0" w:line="440" w:lineRule="exact"/>
        <w:jc w:val="left"/>
        <w:rPr>
          <w:rFonts w:hint="default"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rPr>
        <w:t>部门决算情况说明</w:t>
      </w:r>
      <w:r>
        <w:rPr>
          <w:rFonts w:hint="eastAsia" w:ascii="Times New Roman" w:hAnsi="Times New Roman" w:eastAsia="宋体" w:cs="Times New Roman"/>
          <w:color w:val="auto"/>
          <w:kern w:val="2"/>
          <w:sz w:val="24"/>
          <w:szCs w:val="24"/>
          <w:highlight w:val="none"/>
          <w:lang w:val="en-US" w:eastAsia="zh-CN" w:bidi="ar-SA"/>
        </w:rPr>
        <w:t>················（ 6 ）</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hint="eastAsia"/>
          <w:color w:val="auto"/>
          <w:sz w:val="24"/>
          <w:highlight w:val="none"/>
          <w:lang w:val="en-US" w:eastAsia="zh-CN"/>
        </w:rPr>
        <w:t>·················</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 xml:space="preserve"> 6 </w:t>
      </w:r>
      <w:r>
        <w:rPr>
          <w:rFonts w:hint="eastAsia" w:ascii="Times New Roman" w:hAnsi="Times New Roman" w:eastAsia="宋体" w:cs="Times New Roman"/>
          <w:color w:val="auto"/>
          <w:kern w:val="2"/>
          <w:sz w:val="24"/>
          <w:szCs w:val="24"/>
          <w:highlight w:val="none"/>
          <w:lang w:val="en-US" w:eastAsia="zh-CN" w:bidi="ar-SA"/>
        </w:rPr>
        <w:t>）</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二、收入决算情况说明</w:t>
      </w:r>
      <w:r>
        <w:rPr>
          <w:rFonts w:hint="eastAsia"/>
          <w:color w:val="auto"/>
          <w:sz w:val="24"/>
          <w:highlight w:val="none"/>
          <w:lang w:val="en-US" w:eastAsia="zh-CN"/>
        </w:rPr>
        <w:t>·····················</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 xml:space="preserve"> 6 </w:t>
      </w:r>
      <w:r>
        <w:rPr>
          <w:rFonts w:hint="eastAsia" w:ascii="Times New Roman" w:hAnsi="Times New Roman" w:eastAsia="宋体" w:cs="Times New Roman"/>
          <w:color w:val="auto"/>
          <w:kern w:val="2"/>
          <w:sz w:val="24"/>
          <w:szCs w:val="24"/>
          <w:highlight w:val="none"/>
          <w:lang w:val="en-US" w:eastAsia="zh-CN" w:bidi="ar-SA"/>
        </w:rPr>
        <w:t>）</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hint="eastAsia"/>
          <w:color w:val="auto"/>
          <w:sz w:val="24"/>
          <w:highlight w:val="none"/>
          <w:lang w:val="en-US" w:eastAsia="zh-CN"/>
        </w:rPr>
        <w:t>·····················</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 xml:space="preserve"> 6 </w:t>
      </w:r>
      <w:r>
        <w:rPr>
          <w:rFonts w:hint="eastAsia" w:ascii="Times New Roman" w:hAnsi="Times New Roman" w:eastAsia="宋体" w:cs="Times New Roman"/>
          <w:color w:val="auto"/>
          <w:kern w:val="2"/>
          <w:sz w:val="24"/>
          <w:szCs w:val="24"/>
          <w:highlight w:val="none"/>
          <w:lang w:val="en-US" w:eastAsia="zh-CN" w:bidi="ar-SA"/>
        </w:rPr>
        <w:t>）</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lang w:val="en-US" w:eastAsia="zh-CN"/>
        </w:rPr>
        <w:t>·············</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 xml:space="preserve"> 6 </w:t>
      </w:r>
      <w:r>
        <w:rPr>
          <w:rFonts w:hint="eastAsia" w:ascii="Times New Roman" w:hAnsi="Times New Roman" w:eastAsia="宋体" w:cs="Times New Roman"/>
          <w:color w:val="auto"/>
          <w:kern w:val="2"/>
          <w:sz w:val="24"/>
          <w:szCs w:val="24"/>
          <w:highlight w:val="none"/>
          <w:lang w:val="en-US" w:eastAsia="zh-CN" w:bidi="ar-SA"/>
        </w:rPr>
        <w:t>）</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lang w:val="en-US" w:eastAsia="zh-CN"/>
        </w:rPr>
        <w:t>···········</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 xml:space="preserve"> 6 </w:t>
      </w:r>
      <w:r>
        <w:rPr>
          <w:rFonts w:hint="eastAsia" w:ascii="Times New Roman" w:hAnsi="Times New Roman" w:eastAsia="宋体" w:cs="Times New Roman"/>
          <w:color w:val="auto"/>
          <w:kern w:val="2"/>
          <w:sz w:val="24"/>
          <w:szCs w:val="24"/>
          <w:highlight w:val="none"/>
          <w:lang w:val="en-US" w:eastAsia="zh-CN" w:bidi="ar-SA"/>
        </w:rPr>
        <w:t>）</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lang w:val="en-US" w:eastAsia="zh-CN"/>
        </w:rPr>
        <w:t>·········</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 xml:space="preserve"> 7 </w:t>
      </w:r>
      <w:r>
        <w:rPr>
          <w:rFonts w:hint="eastAsia" w:ascii="Times New Roman" w:hAnsi="Times New Roman" w:eastAsia="宋体" w:cs="Times New Roman"/>
          <w:color w:val="auto"/>
          <w:kern w:val="2"/>
          <w:sz w:val="24"/>
          <w:szCs w:val="24"/>
          <w:highlight w:val="none"/>
          <w:lang w:val="en-US" w:eastAsia="zh-CN" w:bidi="ar-SA"/>
        </w:rPr>
        <w:t>）</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color w:val="auto"/>
          <w:sz w:val="24"/>
          <w:highlight w:val="none"/>
          <w:lang w:val="en-US" w:eastAsia="zh-CN"/>
        </w:rPr>
        <w:t>···········</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 xml:space="preserve"> 8 </w:t>
      </w:r>
      <w:r>
        <w:rPr>
          <w:rFonts w:hint="eastAsia" w:ascii="Times New Roman" w:hAnsi="Times New Roman" w:eastAsia="宋体" w:cs="Times New Roman"/>
          <w:color w:val="auto"/>
          <w:kern w:val="2"/>
          <w:sz w:val="24"/>
          <w:szCs w:val="24"/>
          <w:highlight w:val="none"/>
          <w:lang w:val="en-US" w:eastAsia="zh-CN" w:bidi="ar-SA"/>
        </w:rPr>
        <w:t>）</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color w:val="auto"/>
          <w:sz w:val="24"/>
          <w:highlight w:val="none"/>
          <w:lang w:val="en-US" w:eastAsia="zh-CN"/>
        </w:rPr>
        <w:t>··············</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 xml:space="preserve"> 8 </w:t>
      </w:r>
      <w:r>
        <w:rPr>
          <w:rFonts w:hint="eastAsia" w:ascii="Times New Roman" w:hAnsi="Times New Roman" w:eastAsia="宋体" w:cs="Times New Roman"/>
          <w:color w:val="auto"/>
          <w:kern w:val="2"/>
          <w:sz w:val="24"/>
          <w:szCs w:val="24"/>
          <w:highlight w:val="none"/>
          <w:lang w:val="en-US" w:eastAsia="zh-CN" w:bidi="ar-SA"/>
        </w:rPr>
        <w:t>）</w:t>
      </w:r>
    </w:p>
    <w:p>
      <w:pPr>
        <w:pStyle w:val="12"/>
        <w:adjustRightInd w:val="0"/>
        <w:snapToGrid w:val="0"/>
        <w:spacing w:line="440" w:lineRule="exact"/>
        <w:ind w:leftChars="0"/>
        <w:jc w:val="left"/>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r>
        <w:rPr>
          <w:rFonts w:hint="eastAsia" w:asciiTheme="minorEastAsia" w:hAnsiTheme="minorEastAsia" w:eastAsiaTheme="minorEastAsia" w:cstheme="minorEastAsia"/>
          <w:color w:val="auto"/>
          <w:sz w:val="24"/>
          <w:highlight w:val="none"/>
          <w:lang w:val="en-US" w:eastAsia="zh-CN"/>
        </w:rPr>
        <w:t>·············</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 xml:space="preserve"> 8 </w:t>
      </w:r>
      <w:r>
        <w:rPr>
          <w:rFonts w:hint="eastAsia" w:ascii="Times New Roman" w:hAnsi="Times New Roman" w:eastAsia="宋体" w:cs="Times New Roman"/>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default" w:ascii="Times New Roman" w:hAnsi="Times New Roman" w:eastAsia="宋体" w:cs="Times New Roman"/>
          <w:color w:val="auto"/>
          <w:kern w:val="2"/>
          <w:sz w:val="24"/>
          <w:szCs w:val="24"/>
          <w:highlight w:val="none"/>
          <w:lang w:val="en-US" w:eastAsia="zh-CN" w:bidi="ar-SA"/>
        </w:rPr>
      </w:pPr>
      <w:r>
        <w:rPr>
          <w:rStyle w:val="17"/>
          <w:rFonts w:hint="eastAsia" w:asciiTheme="minorEastAsia" w:hAnsiTheme="minorEastAsia" w:eastAsiaTheme="minorEastAsia" w:cstheme="minorEastAsia"/>
          <w:color w:val="auto"/>
          <w:sz w:val="24"/>
          <w:highlight w:val="none"/>
          <w:u w:val="none"/>
          <w:lang w:eastAsia="zh-CN"/>
        </w:rPr>
        <w:t>十</w:t>
      </w:r>
      <w:r>
        <w:rPr>
          <w:rStyle w:val="17"/>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rPr>
        <w:t>其他重要事项的情况说明</w:t>
      </w:r>
      <w:r>
        <w:rPr>
          <w:rFonts w:hint="eastAsia" w:asciiTheme="minorEastAsia" w:hAnsiTheme="minorEastAsia" w:eastAsiaTheme="minorEastAsia" w:cstheme="minorEastAsia"/>
          <w:color w:val="auto"/>
          <w:sz w:val="24"/>
          <w:highlight w:val="none"/>
          <w:lang w:val="en-US" w:eastAsia="zh-CN"/>
        </w:rPr>
        <w:t>··················</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 xml:space="preserve"> 8 </w:t>
      </w:r>
      <w:r>
        <w:rPr>
          <w:rFonts w:hint="eastAsia" w:ascii="Times New Roman" w:hAnsi="Times New Roman" w:eastAsia="宋体" w:cs="Times New Roman"/>
          <w:color w:val="auto"/>
          <w:kern w:val="2"/>
          <w:sz w:val="24"/>
          <w:szCs w:val="24"/>
          <w:highlight w:val="none"/>
          <w:lang w:val="en-US" w:eastAsia="zh-CN" w:bidi="ar-SA"/>
        </w:rPr>
        <w:t>）</w:t>
      </w:r>
      <w:r>
        <w:rPr>
          <w:rFonts w:hint="eastAsia" w:ascii="仿宋" w:hAnsi="仿宋" w:eastAsia="仿宋" w:cs="Times New Roman"/>
          <w:color w:val="auto"/>
          <w:kern w:val="2"/>
          <w:sz w:val="24"/>
          <w:szCs w:val="28"/>
          <w:highlight w:val="none"/>
          <w:lang w:val="en-US" w:eastAsia="zh-CN" w:bidi="ar-SA"/>
        </w:rPr>
        <w:t>第三部分 名词解释</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 xml:space="preserve"> 10</w:t>
      </w:r>
      <w:r>
        <w:rPr>
          <w:rFonts w:hint="eastAsia" w:ascii="Times New Roman" w:hAnsi="Times New Roman" w:eastAsia="宋体" w:cs="Times New Roman"/>
          <w:color w:val="auto"/>
          <w:kern w:val="2"/>
          <w:sz w:val="24"/>
          <w:szCs w:val="24"/>
          <w:highlight w:val="none"/>
          <w:lang w:val="en-US" w:eastAsia="zh-CN" w:bidi="ar-SA"/>
        </w:rPr>
        <w:t xml:space="preserve"> ）</w:t>
      </w:r>
    </w:p>
    <w:p>
      <w:pPr>
        <w:pStyle w:val="11"/>
        <w:adjustRightInd w:val="0"/>
        <w:snapToGrid w:val="0"/>
        <w:spacing w:before="0" w:line="440" w:lineRule="exact"/>
        <w:jc w:val="left"/>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ascii="Times New Roman" w:hAnsi="Times New Roman" w:eastAsia="宋体" w:cs="Times New Roman"/>
          <w:color w:val="auto"/>
          <w:kern w:val="2"/>
          <w:sz w:val="24"/>
          <w:szCs w:val="24"/>
          <w:highlight w:val="none"/>
          <w:lang w:val="en-US" w:eastAsia="zh-CN" w:bidi="ar-SA"/>
        </w:rPr>
        <w:t>··························（ 12 ）</w:t>
      </w: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ascii="Times New Roman" w:hAnsi="Times New Roman" w:eastAsia="宋体" w:cs="Times New Roman"/>
          <w:color w:val="auto"/>
          <w:kern w:val="2"/>
          <w:sz w:val="24"/>
          <w:szCs w:val="24"/>
          <w:highlight w:val="none"/>
          <w:lang w:val="en-US" w:eastAsia="zh-CN" w:bidi="ar-SA"/>
        </w:rPr>
        <w:t>··························（ 18 ）</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lang w:val="en-US" w:eastAsia="zh-CN"/>
        </w:rPr>
      </w:pPr>
      <w:r>
        <w:rPr>
          <w:rFonts w:hint="eastAsia"/>
          <w:color w:val="auto"/>
          <w:sz w:val="24"/>
          <w:highlight w:val="none"/>
        </w:rPr>
        <w:t>十三、财政拨款“三公”经费支出决算表</w:t>
      </w:r>
    </w:p>
    <w:p>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bookmarkEnd w:id="12"/>
    <w:bookmarkEnd w:id="13"/>
    <w:p>
      <w:pPr>
        <w:pStyle w:val="3"/>
        <w:jc w:val="center"/>
        <w:rPr>
          <w:rStyle w:val="27"/>
          <w:rFonts w:ascii="黑体" w:hAnsi="黑体" w:eastAsia="黑体"/>
          <w:b/>
          <w:bCs w:val="0"/>
          <w:color w:val="000000" w:themeColor="text1"/>
          <w:highlight w:val="none"/>
          <w14:textFill>
            <w14:solidFill>
              <w14:schemeClr w14:val="tx1"/>
            </w14:solidFill>
          </w14:textFill>
        </w:rPr>
      </w:pPr>
      <w:r>
        <w:rPr>
          <w:rFonts w:hint="eastAsia" w:ascii="黑体" w:hAnsi="黑体" w:eastAsia="黑体"/>
          <w:b w:val="0"/>
          <w:color w:val="000000" w:themeColor="text1"/>
          <w:highlight w:val="none"/>
          <w14:textFill>
            <w14:solidFill>
              <w14:schemeClr w14:val="tx1"/>
            </w14:solidFill>
          </w14:textFill>
        </w:rPr>
        <w:t xml:space="preserve">第一部分 </w:t>
      </w:r>
      <w:r>
        <w:rPr>
          <w:rStyle w:val="27"/>
          <w:rFonts w:hint="eastAsia" w:ascii="黑体" w:hAnsi="黑体" w:eastAsia="黑体"/>
          <w:b w:val="0"/>
          <w:bCs w:val="0"/>
          <w:color w:val="000000" w:themeColor="text1"/>
          <w:highlight w:val="none"/>
          <w14:textFill>
            <w14:solidFill>
              <w14:schemeClr w14:val="tx1"/>
            </w14:solidFill>
          </w14:textFill>
        </w:rPr>
        <w:t>部门概况</w:t>
      </w:r>
    </w:p>
    <w:p>
      <w:pPr>
        <w:widowControl/>
        <w:jc w:val="left"/>
        <w:rPr>
          <w:rFonts w:ascii="黑体" w:eastAsia="黑体"/>
          <w:color w:val="000000" w:themeColor="text1"/>
          <w:sz w:val="32"/>
          <w:szCs w:val="32"/>
          <w:highlight w:val="none"/>
          <w14:textFill>
            <w14:solidFill>
              <w14:schemeClr w14:val="tx1"/>
            </w14:solidFill>
          </w14:textFill>
        </w:rPr>
      </w:pPr>
    </w:p>
    <w:p>
      <w:pPr>
        <w:pStyle w:val="4"/>
        <w:rPr>
          <w:rFonts w:hint="eastAsia" w:ascii="黑体" w:hAnsi="黑体" w:eastAsia="黑体"/>
          <w:b w:val="0"/>
          <w:color w:val="000000" w:themeColor="text1"/>
          <w:highlight w:val="none"/>
          <w:lang w:eastAsia="zh-CN"/>
          <w14:textFill>
            <w14:solidFill>
              <w14:schemeClr w14:val="tx1"/>
            </w14:solidFill>
          </w14:textFill>
        </w:rPr>
      </w:pPr>
      <w:bookmarkStart w:id="14" w:name="_Toc15377197"/>
      <w:bookmarkStart w:id="15" w:name="_Toc15396600"/>
      <w:r>
        <w:rPr>
          <w:rFonts w:hint="eastAsia" w:ascii="黑体" w:hAnsi="黑体" w:eastAsia="黑体"/>
          <w:b w:val="0"/>
          <w:color w:val="000000" w:themeColor="text1"/>
          <w:highlight w:val="none"/>
          <w14:textFill>
            <w14:solidFill>
              <w14:schemeClr w14:val="tx1"/>
            </w14:solidFill>
          </w14:textFill>
        </w:rPr>
        <w:t>一、</w:t>
      </w:r>
      <w:bookmarkEnd w:id="14"/>
      <w:bookmarkEnd w:id="15"/>
      <w:r>
        <w:rPr>
          <w:rFonts w:hint="eastAsia" w:ascii="黑体" w:hAnsi="黑体" w:eastAsia="黑体"/>
          <w:b w:val="0"/>
          <w:color w:val="000000" w:themeColor="text1"/>
          <w:highlight w:val="none"/>
          <w:lang w:eastAsia="zh-CN"/>
          <w14:textFill>
            <w14:solidFill>
              <w14:schemeClr w14:val="tx1"/>
            </w14:solidFill>
          </w14:textFill>
        </w:rPr>
        <w:t>部门职责</w:t>
      </w:r>
      <w:bookmarkStart w:id="16" w:name="_Toc15377200"/>
      <w:bookmarkStart w:id="17" w:name="_Toc15396601"/>
    </w:p>
    <w:p>
      <w:pPr>
        <w:ind w:firstLine="800" w:firstLineChars="250"/>
        <w:rPr>
          <w:rFonts w:hint="default"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一是</w:t>
      </w:r>
      <w:r>
        <w:rPr>
          <w:rFonts w:hint="default" w:ascii="仿宋" w:hAnsi="仿宋" w:eastAsia="仿宋"/>
          <w:color w:val="000000" w:themeColor="text1"/>
          <w:sz w:val="32"/>
          <w:szCs w:val="32"/>
          <w:highlight w:val="none"/>
          <w:lang w:val="en-US" w:eastAsia="zh-CN"/>
          <w14:textFill>
            <w14:solidFill>
              <w14:schemeClr w14:val="tx1"/>
            </w14:solidFill>
          </w14:textFill>
        </w:rPr>
        <w:t>贯彻实施县红十字会事业发展规划；负责本县红十字会的组织建设工作，依法发展会员、组建志愿工作者队伍。</w:t>
      </w:r>
    </w:p>
    <w:p>
      <w:pPr>
        <w:ind w:firstLine="800" w:firstLineChars="250"/>
        <w:rPr>
          <w:rFonts w:hint="default"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二是</w:t>
      </w:r>
      <w:r>
        <w:rPr>
          <w:rFonts w:hint="default" w:ascii="仿宋" w:hAnsi="仿宋" w:eastAsia="仿宋"/>
          <w:color w:val="000000" w:themeColor="text1"/>
          <w:sz w:val="32"/>
          <w:szCs w:val="32"/>
          <w:highlight w:val="none"/>
          <w:lang w:val="en-US" w:eastAsia="zh-CN"/>
          <w14:textFill>
            <w14:solidFill>
              <w14:schemeClr w14:val="tx1"/>
            </w14:solidFill>
          </w14:textFill>
        </w:rPr>
        <w:t>开展备灾救灾工作。制定应急预案，建立应急救援队伍；储备救灾物资，依法募集物资和款项，在自然灾害、事故灾难和公共卫生事件等突发事件中，开展救护、救助和救援工作。</w:t>
      </w:r>
    </w:p>
    <w:p>
      <w:pPr>
        <w:ind w:firstLine="800" w:firstLineChars="250"/>
        <w:rPr>
          <w:rFonts w:hint="default"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三是</w:t>
      </w:r>
      <w:r>
        <w:rPr>
          <w:rFonts w:hint="default" w:ascii="仿宋" w:hAnsi="仿宋" w:eastAsia="仿宋"/>
          <w:color w:val="000000" w:themeColor="text1"/>
          <w:sz w:val="32"/>
          <w:szCs w:val="32"/>
          <w:highlight w:val="none"/>
          <w:lang w:val="en-US" w:eastAsia="zh-CN"/>
          <w14:textFill>
            <w14:solidFill>
              <w14:schemeClr w14:val="tx1"/>
            </w14:solidFill>
          </w14:textFill>
        </w:rPr>
        <w:t>开展应急救护、防灾避险和卫生健康知识的宣传、普及、培训；在机关、企事业单位、社区、农村、学校和易发生意外伤害的行业和人群中开展应急救护普及培训和救护员培训，提高群众在应急条件下的自救互救能力。</w:t>
      </w:r>
    </w:p>
    <w:p>
      <w:pPr>
        <w:ind w:firstLine="800" w:firstLineChars="250"/>
        <w:rPr>
          <w:rFonts w:hint="default"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四是</w:t>
      </w:r>
      <w:r>
        <w:rPr>
          <w:rFonts w:hint="default" w:ascii="仿宋" w:hAnsi="仿宋" w:eastAsia="仿宋"/>
          <w:color w:val="000000" w:themeColor="text1"/>
          <w:sz w:val="32"/>
          <w:szCs w:val="32"/>
          <w:highlight w:val="none"/>
          <w:lang w:val="en-US" w:eastAsia="zh-CN"/>
          <w14:textFill>
            <w14:solidFill>
              <w14:schemeClr w14:val="tx1"/>
            </w14:solidFill>
          </w14:textFill>
        </w:rPr>
        <w:t>开展社会救助及相关服务工作。持续开展中央彩票大病儿童基金救助项目，对易受损人群进行救助，为困难群众提供服务；在社区、农村中建立红十字服务站，开展服务群众、宣传培训，募捐救助等活动。</w:t>
      </w:r>
    </w:p>
    <w:p>
      <w:pPr>
        <w:ind w:firstLine="800" w:firstLineChars="250"/>
        <w:rPr>
          <w:rFonts w:hint="default"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五是</w:t>
      </w:r>
      <w:r>
        <w:rPr>
          <w:rFonts w:hint="default" w:ascii="仿宋" w:hAnsi="仿宋" w:eastAsia="仿宋"/>
          <w:color w:val="000000" w:themeColor="text1"/>
          <w:sz w:val="32"/>
          <w:szCs w:val="32"/>
          <w:highlight w:val="none"/>
          <w:lang w:val="en-US" w:eastAsia="zh-CN"/>
          <w14:textFill>
            <w14:solidFill>
              <w14:schemeClr w14:val="tx1"/>
            </w14:solidFill>
          </w14:textFill>
        </w:rPr>
        <w:t>开展造血干细胞捐献的宣传、动员、组织工作；依法参与无偿献血宣传和动员；依法开展和推动遗体、器官（组织）捐献工作；开展艾滋病预防控制宣传和教育、关心爱护艾滋病病毒感染者、患者及其他人道救助工作。</w:t>
      </w:r>
    </w:p>
    <w:p>
      <w:pPr>
        <w:ind w:firstLine="800" w:firstLineChars="250"/>
        <w:rPr>
          <w:rFonts w:hint="default" w:ascii="仿宋" w:hAnsi="仿宋" w:eastAsia="仿宋"/>
          <w:color w:val="000000" w:themeColor="text1"/>
          <w:sz w:val="32"/>
          <w:szCs w:val="32"/>
          <w:highlight w:val="none"/>
          <w:lang w:val="en-US" w:eastAsia="zh-CN"/>
          <w14:textFill>
            <w14:solidFill>
              <w14:schemeClr w14:val="tx1"/>
            </w14:solidFill>
          </w14:textFill>
        </w:rPr>
      </w:pPr>
      <w:r>
        <w:rPr>
          <w:rFonts w:hint="default" w:ascii="仿宋" w:hAnsi="仿宋" w:eastAsia="仿宋"/>
          <w:color w:val="000000" w:themeColor="text1"/>
          <w:sz w:val="32"/>
          <w:szCs w:val="32"/>
          <w:highlight w:val="none"/>
          <w:lang w:val="en-US" w:eastAsia="zh-CN"/>
          <w14:textFill>
            <w14:solidFill>
              <w14:schemeClr w14:val="tx1"/>
            </w14:solidFill>
          </w14:textFill>
        </w:rPr>
        <w:t>六</w:t>
      </w:r>
      <w:r>
        <w:rPr>
          <w:rFonts w:hint="eastAsia" w:ascii="仿宋" w:hAnsi="仿宋" w:eastAsia="仿宋"/>
          <w:color w:val="000000" w:themeColor="text1"/>
          <w:sz w:val="32"/>
          <w:szCs w:val="32"/>
          <w:highlight w:val="none"/>
          <w:lang w:val="en-US" w:eastAsia="zh-CN"/>
          <w14:textFill>
            <w14:solidFill>
              <w14:schemeClr w14:val="tx1"/>
            </w14:solidFill>
          </w14:textFill>
        </w:rPr>
        <w:t>是</w:t>
      </w:r>
      <w:r>
        <w:rPr>
          <w:rFonts w:hint="default" w:ascii="仿宋" w:hAnsi="仿宋" w:eastAsia="仿宋"/>
          <w:color w:val="000000" w:themeColor="text1"/>
          <w:sz w:val="32"/>
          <w:szCs w:val="32"/>
          <w:highlight w:val="none"/>
          <w:lang w:val="en-US" w:eastAsia="zh-CN"/>
          <w14:textFill>
            <w14:solidFill>
              <w14:schemeClr w14:val="tx1"/>
            </w14:solidFill>
          </w14:textFill>
        </w:rPr>
        <w:t>培养红十字青少年，开展有益于青少年身心健康的红十字青少年活动。</w:t>
      </w:r>
    </w:p>
    <w:p>
      <w:pPr>
        <w:ind w:firstLine="800" w:firstLineChars="250"/>
        <w:rPr>
          <w:rFonts w:hint="default"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七是开展志愿服务活动，依法开展募捐活动。</w:t>
      </w:r>
    </w:p>
    <w:p>
      <w:pPr>
        <w:pStyle w:val="4"/>
        <w:rPr>
          <w:rStyle w:val="28"/>
          <w:b w:val="0"/>
          <w:bCs w:val="0"/>
          <w:color w:val="000000" w:themeColor="text1"/>
          <w:highlight w:val="none"/>
          <w14:textFill>
            <w14:solidFill>
              <w14:schemeClr w14:val="tx1"/>
            </w14:solidFill>
          </w14:textFill>
        </w:rPr>
      </w:pPr>
      <w:r>
        <w:rPr>
          <w:rFonts w:hint="eastAsia" w:ascii="黑体" w:eastAsia="黑体"/>
          <w:b w:val="0"/>
          <w:color w:val="000000" w:themeColor="text1"/>
          <w:highlight w:val="none"/>
          <w14:textFill>
            <w14:solidFill>
              <w14:schemeClr w14:val="tx1"/>
            </w14:solidFill>
          </w14:textFill>
        </w:rPr>
        <w:t>二、</w:t>
      </w:r>
      <w:r>
        <w:rPr>
          <w:rFonts w:hint="eastAsia" w:ascii="黑体" w:hAnsi="黑体" w:eastAsia="黑体"/>
          <w:b w:val="0"/>
          <w:color w:val="000000" w:themeColor="text1"/>
          <w:highlight w:val="none"/>
          <w14:textFill>
            <w14:solidFill>
              <w14:schemeClr w14:val="tx1"/>
            </w14:solidFill>
          </w14:textFill>
        </w:rPr>
        <w:t>机</w:t>
      </w:r>
      <w:r>
        <w:rPr>
          <w:rStyle w:val="28"/>
          <w:rFonts w:hint="eastAsia" w:ascii="黑体" w:hAnsi="黑体" w:eastAsia="黑体"/>
          <w:b w:val="0"/>
          <w:bCs w:val="0"/>
          <w:color w:val="000000" w:themeColor="text1"/>
          <w:highlight w:val="none"/>
          <w14:textFill>
            <w14:solidFill>
              <w14:schemeClr w14:val="tx1"/>
            </w14:solidFill>
          </w14:textFill>
        </w:rPr>
        <w:t>构设置</w:t>
      </w:r>
      <w:bookmarkEnd w:id="16"/>
      <w:bookmarkEnd w:id="17"/>
    </w:p>
    <w:p>
      <w:pPr>
        <w:ind w:firstLine="800" w:firstLineChars="25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泸县红十字会</w:t>
      </w:r>
      <w:r>
        <w:rPr>
          <w:rFonts w:hint="eastAsia" w:ascii="仿宋" w:hAnsi="仿宋" w:eastAsia="仿宋"/>
          <w:color w:val="000000" w:themeColor="text1"/>
          <w:sz w:val="32"/>
          <w:szCs w:val="32"/>
          <w:highlight w:val="none"/>
          <w14:textFill>
            <w14:solidFill>
              <w14:schemeClr w14:val="tx1"/>
            </w14:solidFill>
          </w14:textFill>
        </w:rPr>
        <w:t>下属二级</w:t>
      </w:r>
      <w:r>
        <w:rPr>
          <w:rFonts w:hint="eastAsia" w:ascii="仿宋" w:hAnsi="仿宋" w:eastAsia="仿宋"/>
          <w:color w:val="000000" w:themeColor="text1"/>
          <w:sz w:val="32"/>
          <w:szCs w:val="32"/>
          <w:highlight w:val="none"/>
          <w:lang w:eastAsia="zh-CN"/>
          <w14:textFill>
            <w14:solidFill>
              <w14:schemeClr w14:val="tx1"/>
            </w14:solidFill>
          </w14:textFill>
        </w:rPr>
        <w:t>预算</w:t>
      </w:r>
      <w:r>
        <w:rPr>
          <w:rFonts w:hint="eastAsia" w:ascii="仿宋" w:hAnsi="仿宋" w:eastAsia="仿宋"/>
          <w:color w:val="000000" w:themeColor="text1"/>
          <w:sz w:val="32"/>
          <w:szCs w:val="32"/>
          <w:highlight w:val="none"/>
          <w14:textFill>
            <w14:solidFill>
              <w14:schemeClr w14:val="tx1"/>
            </w14:solidFill>
          </w14:textFill>
        </w:rPr>
        <w:t>单位</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个，其中行政单位</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个，参照公务员法管理的事业单位</w:t>
      </w:r>
      <w:r>
        <w:rPr>
          <w:rFonts w:hint="eastAsia" w:ascii="仿宋" w:hAnsi="仿宋" w:eastAsia="仿宋"/>
          <w:bCs/>
          <w:color w:val="000000" w:themeColor="text1"/>
          <w:sz w:val="32"/>
          <w:szCs w:val="32"/>
          <w:highlight w:val="non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个，其他事业单位</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个。</w:t>
      </w:r>
    </w:p>
    <w:p>
      <w:pPr>
        <w:pStyle w:val="6"/>
        <w:adjustRightInd w:val="0"/>
        <w:snapToGrid w:val="0"/>
        <w:spacing w:before="93" w:line="600" w:lineRule="exact"/>
        <w:ind w:firstLine="1120" w:firstLineChars="350"/>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没有</w:t>
      </w:r>
      <w:r>
        <w:rPr>
          <w:rFonts w:hint="eastAsia" w:ascii="仿宋" w:hAnsi="仿宋" w:eastAsia="仿宋"/>
          <w:color w:val="000000" w:themeColor="text1"/>
          <w:sz w:val="32"/>
          <w:szCs w:val="32"/>
          <w:highlight w:val="none"/>
          <w14:textFill>
            <w14:solidFill>
              <w14:schemeClr w14:val="tx1"/>
            </w14:solidFill>
          </w14:textFill>
        </w:rPr>
        <w:t>纳入20</w:t>
      </w:r>
      <w:r>
        <w:rPr>
          <w:rFonts w:hint="eastAsia" w:ascii="仿宋" w:hAnsi="仿宋" w:eastAsia="仿宋"/>
          <w:color w:val="000000" w:themeColor="text1"/>
          <w:sz w:val="32"/>
          <w:szCs w:val="32"/>
          <w:highlight w:val="none"/>
          <w:lang w:val="en-US" w:eastAsia="zh-CN"/>
          <w14:textFill>
            <w14:solidFill>
              <w14:schemeClr w14:val="tx1"/>
            </w14:solidFill>
          </w14:textFill>
        </w:rPr>
        <w:t>22</w:t>
      </w:r>
      <w:r>
        <w:rPr>
          <w:rFonts w:hint="eastAsia" w:ascii="仿宋" w:hAnsi="仿宋" w:eastAsia="仿宋"/>
          <w:color w:val="000000" w:themeColor="text1"/>
          <w:sz w:val="32"/>
          <w:szCs w:val="32"/>
          <w:highlight w:val="none"/>
          <w14:textFill>
            <w14:solidFill>
              <w14:schemeClr w14:val="tx1"/>
            </w14:solidFill>
          </w14:textFill>
        </w:rPr>
        <w:t>年度部门决算编制范围的二级预算单位</w:t>
      </w:r>
      <w:r>
        <w:rPr>
          <w:rFonts w:hint="eastAsia" w:ascii="仿宋" w:hAnsi="仿宋" w:eastAsia="仿宋"/>
          <w:color w:val="000000" w:themeColor="text1"/>
          <w:sz w:val="32"/>
          <w:szCs w:val="32"/>
          <w:highlight w:val="none"/>
          <w:lang w:eastAsia="zh-CN"/>
          <w14:textFill>
            <w14:solidFill>
              <w14:schemeClr w14:val="tx1"/>
            </w14:solidFill>
          </w14:textFill>
        </w:rPr>
        <w:t>。</w:t>
      </w:r>
    </w:p>
    <w:p>
      <w:pPr>
        <w:widowControl/>
        <w:jc w:val="left"/>
        <w:rPr>
          <w:rFonts w:ascii="仿宋" w:hAnsi="仿宋" w:eastAsia="仿宋"/>
          <w:color w:val="000000" w:themeColor="text1"/>
          <w:kern w:val="0"/>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br w:type="page"/>
      </w:r>
    </w:p>
    <w:p>
      <w:pPr>
        <w:pStyle w:val="3"/>
        <w:ind w:right="440"/>
        <w:jc w:val="center"/>
        <w:rPr>
          <w:rStyle w:val="27"/>
          <w:rFonts w:ascii="黑体" w:hAnsi="黑体" w:eastAsia="黑体"/>
          <w:b w:val="0"/>
          <w:bCs/>
          <w:color w:val="auto"/>
          <w:highlight w:val="none"/>
        </w:rPr>
      </w:pPr>
      <w:bookmarkStart w:id="18" w:name="_Toc15396602"/>
      <w:bookmarkStart w:id="19"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7"/>
          <w:rFonts w:hint="eastAsia" w:ascii="黑体" w:hAnsi="黑体" w:eastAsia="黑体"/>
          <w:b w:val="0"/>
          <w:bCs/>
          <w:color w:val="auto"/>
          <w:highlight w:val="none"/>
        </w:rPr>
        <w:t>部门决算情况说明</w:t>
      </w:r>
      <w:bookmarkEnd w:id="18"/>
      <w:bookmarkEnd w:id="19"/>
    </w:p>
    <w:p>
      <w:pPr>
        <w:rPr>
          <w:color w:val="auto"/>
          <w:highlight w:val="none"/>
        </w:rPr>
      </w:pPr>
    </w:p>
    <w:p>
      <w:pPr>
        <w:pStyle w:val="26"/>
        <w:numPr>
          <w:ilvl w:val="0"/>
          <w:numId w:val="1"/>
        </w:numPr>
        <w:spacing w:line="600" w:lineRule="exact"/>
        <w:ind w:firstLineChars="0"/>
        <w:outlineLvl w:val="1"/>
        <w:rPr>
          <w:rStyle w:val="28"/>
          <w:rFonts w:ascii="黑体" w:hAnsi="黑体" w:eastAsia="黑体"/>
          <w:b w:val="0"/>
          <w:color w:val="auto"/>
          <w:highlight w:val="none"/>
        </w:rPr>
      </w:pPr>
      <w:bookmarkStart w:id="20" w:name="_Toc15396603"/>
      <w:bookmarkStart w:id="21" w:name="_Toc15377205"/>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入支出决算总体情况说明</w:t>
      </w:r>
      <w:bookmarkEnd w:id="20"/>
      <w:bookmarkEnd w:id="21"/>
    </w:p>
    <w:p>
      <w:pPr>
        <w:spacing w:line="600" w:lineRule="exact"/>
        <w:ind w:firstLine="640" w:firstLineChars="200"/>
        <w:rPr>
          <w:rFonts w:ascii="仿宋_GB2312" w:eastAsia="仿宋_GB2312"/>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98.84</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本单位是</w:t>
      </w:r>
      <w:r>
        <w:rPr>
          <w:rFonts w:hint="eastAsia" w:ascii="仿宋" w:hAnsi="仿宋" w:eastAsia="仿宋"/>
          <w:color w:val="auto"/>
          <w:sz w:val="32"/>
          <w:szCs w:val="32"/>
          <w:highlight w:val="none"/>
          <w:lang w:val="en-US" w:eastAsia="zh-CN"/>
        </w:rPr>
        <w:t>2022年机构改革新成立单位，无2021年决算数</w:t>
      </w:r>
      <w:r>
        <w:rPr>
          <w:rFonts w:hint="eastAsia" w:ascii="仿宋" w:hAnsi="仿宋" w:eastAsia="仿宋"/>
          <w:color w:val="auto"/>
          <w:sz w:val="32"/>
          <w:szCs w:val="32"/>
          <w:highlight w:val="none"/>
        </w:rPr>
        <w:t>。</w:t>
      </w:r>
    </w:p>
    <w:p>
      <w:pPr>
        <w:pStyle w:val="26"/>
        <w:numPr>
          <w:ilvl w:val="0"/>
          <w:numId w:val="1"/>
        </w:numPr>
        <w:spacing w:line="600" w:lineRule="exact"/>
        <w:ind w:firstLineChars="0"/>
        <w:outlineLvl w:val="1"/>
        <w:rPr>
          <w:rStyle w:val="28"/>
          <w:rFonts w:ascii="黑体" w:hAnsi="黑体" w:eastAsia="黑体"/>
          <w:b w:val="0"/>
          <w:color w:val="auto"/>
          <w:highlight w:val="none"/>
        </w:rPr>
      </w:pPr>
      <w:bookmarkStart w:id="22" w:name="_Toc15396604"/>
      <w:bookmarkStart w:id="23" w:name="_Toc15377206"/>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入决算情况说明</w:t>
      </w:r>
      <w:bookmarkEnd w:id="22"/>
      <w:bookmarkEnd w:id="23"/>
    </w:p>
    <w:p>
      <w:pPr>
        <w:spacing w:line="600" w:lineRule="exact"/>
        <w:ind w:firstLine="640" w:firstLineChars="200"/>
        <w:outlineLvl w:val="1"/>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20</w:t>
      </w:r>
      <w:r>
        <w:rPr>
          <w:rFonts w:hint="eastAsia" w:ascii="仿宋" w:hAnsi="仿宋" w:eastAsia="仿宋"/>
          <w:color w:val="000000" w:themeColor="text1"/>
          <w:sz w:val="32"/>
          <w:szCs w:val="32"/>
          <w:highlight w:val="none"/>
          <w:lang w:val="en-US" w:eastAsia="zh-CN"/>
          <w14:textFill>
            <w14:solidFill>
              <w14:schemeClr w14:val="tx1"/>
            </w14:solidFill>
          </w14:textFill>
        </w:rPr>
        <w:t>22</w:t>
      </w:r>
      <w:r>
        <w:rPr>
          <w:rFonts w:hint="eastAsia" w:ascii="仿宋" w:hAnsi="仿宋" w:eastAsia="仿宋"/>
          <w:color w:val="000000" w:themeColor="text1"/>
          <w:sz w:val="32"/>
          <w:szCs w:val="32"/>
          <w:highlight w:val="none"/>
          <w14:textFill>
            <w14:solidFill>
              <w14:schemeClr w14:val="tx1"/>
            </w14:solidFill>
          </w14:textFill>
        </w:rPr>
        <w:t>年本年收入合计</w:t>
      </w:r>
      <w:r>
        <w:rPr>
          <w:rFonts w:hint="eastAsia" w:ascii="仿宋" w:hAnsi="仿宋" w:eastAsia="仿宋"/>
          <w:color w:val="000000" w:themeColor="text1"/>
          <w:sz w:val="32"/>
          <w:szCs w:val="32"/>
          <w:highlight w:val="none"/>
          <w:lang w:val="en-US" w:eastAsia="zh-CN"/>
          <w14:textFill>
            <w14:solidFill>
              <w14:schemeClr w14:val="tx1"/>
            </w14:solidFill>
          </w14:textFill>
        </w:rPr>
        <w:t>95.81</w:t>
      </w:r>
      <w:r>
        <w:rPr>
          <w:rFonts w:hint="eastAsia" w:ascii="仿宋" w:hAnsi="仿宋" w:eastAsia="仿宋"/>
          <w:color w:val="000000" w:themeColor="text1"/>
          <w:sz w:val="32"/>
          <w:szCs w:val="32"/>
          <w:highlight w:val="none"/>
          <w14:textFill>
            <w14:solidFill>
              <w14:schemeClr w14:val="tx1"/>
            </w14:solidFill>
          </w14:textFill>
        </w:rPr>
        <w:t>万元，其中：一般公共预算财政拨款收入</w:t>
      </w:r>
      <w:r>
        <w:rPr>
          <w:rFonts w:hint="eastAsia" w:ascii="仿宋" w:hAnsi="仿宋" w:eastAsia="仿宋"/>
          <w:color w:val="000000" w:themeColor="text1"/>
          <w:sz w:val="32"/>
          <w:szCs w:val="32"/>
          <w:highlight w:val="none"/>
          <w:lang w:val="en-US" w:eastAsia="zh-CN"/>
          <w14:textFill>
            <w14:solidFill>
              <w14:schemeClr w14:val="tx1"/>
            </w14:solidFill>
          </w14:textFill>
        </w:rPr>
        <w:t>95.81</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100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p>
    <w:p>
      <w:pPr>
        <w:pStyle w:val="26"/>
        <w:numPr>
          <w:ilvl w:val="0"/>
          <w:numId w:val="1"/>
        </w:numPr>
        <w:spacing w:line="600" w:lineRule="exact"/>
        <w:ind w:firstLineChars="0"/>
        <w:outlineLvl w:val="1"/>
        <w:rPr>
          <w:rStyle w:val="28"/>
          <w:rFonts w:ascii="黑体" w:hAnsi="黑体" w:eastAsia="黑体"/>
          <w:b w:val="0"/>
          <w:color w:val="000000" w:themeColor="text1"/>
          <w:highlight w:val="none"/>
          <w14:textFill>
            <w14:solidFill>
              <w14:schemeClr w14:val="tx1"/>
            </w14:solidFill>
          </w14:textFill>
        </w:rPr>
      </w:pPr>
      <w:bookmarkStart w:id="24" w:name="_Toc15377207"/>
      <w:bookmarkStart w:id="25" w:name="_Toc15396605"/>
      <w:r>
        <w:rPr>
          <w:rFonts w:hint="eastAsia" w:ascii="黑体" w:hAnsi="黑体" w:eastAsia="黑体"/>
          <w:color w:val="000000" w:themeColor="text1"/>
          <w:sz w:val="32"/>
          <w:szCs w:val="32"/>
          <w:highlight w:val="none"/>
          <w14:textFill>
            <w14:solidFill>
              <w14:schemeClr w14:val="tx1"/>
            </w14:solidFill>
          </w14:textFill>
        </w:rPr>
        <w:t>支</w:t>
      </w:r>
      <w:r>
        <w:rPr>
          <w:rStyle w:val="28"/>
          <w:rFonts w:hint="eastAsia" w:ascii="黑体" w:hAnsi="黑体" w:eastAsia="黑体"/>
          <w:b w:val="0"/>
          <w:color w:val="000000" w:themeColor="text1"/>
          <w:highlight w:val="none"/>
          <w14:textFill>
            <w14:solidFill>
              <w14:schemeClr w14:val="tx1"/>
            </w14:solidFill>
          </w14:textFill>
        </w:rPr>
        <w:t>出决算情况说明</w:t>
      </w:r>
      <w:bookmarkEnd w:id="24"/>
      <w:bookmarkEnd w:id="25"/>
    </w:p>
    <w:p>
      <w:pPr>
        <w:spacing w:line="600" w:lineRule="exact"/>
        <w:ind w:firstLine="640" w:firstLineChars="200"/>
        <w:outlineLvl w:val="1"/>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20</w:t>
      </w:r>
      <w:r>
        <w:rPr>
          <w:rFonts w:hint="eastAsia" w:ascii="仿宋" w:hAnsi="仿宋" w:eastAsia="仿宋"/>
          <w:color w:val="000000" w:themeColor="text1"/>
          <w:sz w:val="32"/>
          <w:szCs w:val="32"/>
          <w:highlight w:val="none"/>
          <w:lang w:val="en-US" w:eastAsia="zh-CN"/>
          <w14:textFill>
            <w14:solidFill>
              <w14:schemeClr w14:val="tx1"/>
            </w14:solidFill>
          </w14:textFill>
        </w:rPr>
        <w:t>22</w:t>
      </w:r>
      <w:r>
        <w:rPr>
          <w:rFonts w:hint="eastAsia" w:ascii="仿宋" w:hAnsi="仿宋" w:eastAsia="仿宋"/>
          <w:color w:val="000000" w:themeColor="text1"/>
          <w:sz w:val="32"/>
          <w:szCs w:val="32"/>
          <w:highlight w:val="none"/>
          <w14:textFill>
            <w14:solidFill>
              <w14:schemeClr w14:val="tx1"/>
            </w14:solidFill>
          </w14:textFill>
        </w:rPr>
        <w:t>年本年支出合计</w:t>
      </w:r>
      <w:r>
        <w:rPr>
          <w:rFonts w:hint="eastAsia" w:ascii="仿宋" w:hAnsi="仿宋" w:eastAsia="仿宋"/>
          <w:color w:val="000000" w:themeColor="text1"/>
          <w:sz w:val="32"/>
          <w:szCs w:val="32"/>
          <w:highlight w:val="none"/>
          <w:lang w:val="en-US" w:eastAsia="zh-CN"/>
          <w14:textFill>
            <w14:solidFill>
              <w14:schemeClr w14:val="tx1"/>
            </w14:solidFill>
          </w14:textFill>
        </w:rPr>
        <w:t>98.84</w:t>
      </w:r>
      <w:r>
        <w:rPr>
          <w:rFonts w:hint="eastAsia" w:ascii="仿宋" w:hAnsi="仿宋" w:eastAsia="仿宋"/>
          <w:color w:val="000000" w:themeColor="text1"/>
          <w:sz w:val="32"/>
          <w:szCs w:val="32"/>
          <w:highlight w:val="none"/>
          <w14:textFill>
            <w14:solidFill>
              <w14:schemeClr w14:val="tx1"/>
            </w14:solidFill>
          </w14:textFill>
        </w:rPr>
        <w:t>万元，其中：基本支出</w:t>
      </w:r>
      <w:r>
        <w:rPr>
          <w:rFonts w:hint="eastAsia" w:ascii="仿宋" w:hAnsi="仿宋" w:eastAsia="仿宋"/>
          <w:color w:val="000000" w:themeColor="text1"/>
          <w:sz w:val="32"/>
          <w:szCs w:val="32"/>
          <w:highlight w:val="none"/>
          <w:lang w:val="en-US" w:eastAsia="zh-CN"/>
          <w14:textFill>
            <w14:solidFill>
              <w14:schemeClr w14:val="tx1"/>
            </w14:solidFill>
          </w14:textFill>
        </w:rPr>
        <w:t>71.54</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72.38</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；项目支出</w:t>
      </w:r>
      <w:r>
        <w:rPr>
          <w:rFonts w:hint="eastAsia" w:ascii="仿宋" w:hAnsi="仿宋" w:eastAsia="仿宋"/>
          <w:color w:val="000000" w:themeColor="text1"/>
          <w:sz w:val="32"/>
          <w:szCs w:val="32"/>
          <w:highlight w:val="none"/>
          <w:lang w:val="en-US" w:eastAsia="zh-CN"/>
          <w14:textFill>
            <w14:solidFill>
              <w14:schemeClr w14:val="tx1"/>
            </w14:solidFill>
          </w14:textFill>
        </w:rPr>
        <w:t>27.3</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27.62</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p>
    <w:p>
      <w:pPr>
        <w:spacing w:line="600" w:lineRule="exact"/>
        <w:ind w:firstLine="640"/>
        <w:rPr>
          <w:rFonts w:ascii="仿宋" w:hAnsi="仿宋" w:eastAsia="仿宋"/>
          <w:color w:val="000000" w:themeColor="text1"/>
          <w:sz w:val="32"/>
          <w:szCs w:val="32"/>
          <w:highlight w:val="none"/>
          <w:shd w:val="pct10" w:color="auto" w:fill="FFFFFF"/>
          <w14:textFill>
            <w14:solidFill>
              <w14:schemeClr w14:val="tx1"/>
            </w14:solidFill>
          </w14:textFill>
        </w:rPr>
      </w:pPr>
    </w:p>
    <w:p>
      <w:pPr>
        <w:pStyle w:val="2"/>
        <w:rPr>
          <w:rFonts w:ascii="仿宋" w:hAnsi="仿宋" w:eastAsia="仿宋"/>
          <w:color w:val="000000" w:themeColor="text1"/>
          <w:sz w:val="32"/>
          <w:szCs w:val="32"/>
          <w:highlight w:val="none"/>
          <w:shd w:val="pct10" w:color="auto" w:fill="FFFFFF"/>
          <w14:textFill>
            <w14:solidFill>
              <w14:schemeClr w14:val="tx1"/>
            </w14:solidFill>
          </w14:textFill>
        </w:rPr>
      </w:pPr>
      <w:r>
        <w:rPr>
          <w:rFonts w:hint="eastAsia" w:ascii="仿宋" w:hAnsi="仿宋" w:eastAsia="仿宋"/>
          <w:color w:val="000000" w:themeColor="text1"/>
          <w:sz w:val="32"/>
          <w:szCs w:val="32"/>
          <w:highlight w:val="none"/>
          <w:shd w:val="pct10" w:color="auto" w:fill="FFFFFF"/>
          <w:lang w:eastAsia="zh-CN"/>
          <w14:textFill>
            <w14:solidFill>
              <w14:schemeClr w14:val="tx1"/>
            </w14:solidFill>
          </w14:textFill>
        </w:rPr>
        <w:drawing>
          <wp:inline distT="0" distB="0" distL="114300" distR="114300">
            <wp:extent cx="4443730" cy="2106295"/>
            <wp:effectExtent l="4445" t="4445" r="9525" b="80010"/>
            <wp:docPr id="3" name="图表 3" descr="7b0a202020202263686172745265734964223a202232303437313338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
        <w:rPr>
          <w:rFonts w:ascii="仿宋" w:hAnsi="仿宋" w:eastAsia="仿宋"/>
          <w:color w:val="000000" w:themeColor="text1"/>
          <w:sz w:val="32"/>
          <w:szCs w:val="32"/>
          <w:highlight w:val="none"/>
          <w:shd w:val="pct10" w:color="auto" w:fill="FFFFFF"/>
          <w14:textFill>
            <w14:solidFill>
              <w14:schemeClr w14:val="tx1"/>
            </w14:solidFill>
          </w14:textFill>
        </w:rPr>
      </w:pPr>
    </w:p>
    <w:p>
      <w:pPr>
        <w:spacing w:line="60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（图</w:t>
      </w:r>
      <w:r>
        <w:rPr>
          <w:rFonts w:hint="eastAsia" w:ascii="仿宋" w:hAnsi="仿宋" w:eastAsia="仿宋"/>
          <w:color w:val="000000" w:themeColor="text1"/>
          <w:sz w:val="32"/>
          <w:szCs w:val="32"/>
          <w:highlight w:val="none"/>
          <w:lang w:val="en-US" w:eastAsia="zh-CN"/>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：支出决算结构图）（饼状图）</w:t>
      </w:r>
    </w:p>
    <w:p>
      <w:pPr>
        <w:spacing w:line="600" w:lineRule="exact"/>
        <w:ind w:firstLine="640" w:firstLineChars="200"/>
        <w:outlineLvl w:val="1"/>
        <w:rPr>
          <w:rStyle w:val="28"/>
          <w:rFonts w:ascii="黑体" w:hAnsi="黑体" w:eastAsia="黑体"/>
          <w:b w:val="0"/>
          <w:color w:val="auto"/>
          <w:highlight w:val="none"/>
        </w:rPr>
      </w:pPr>
      <w:bookmarkStart w:id="26" w:name="_Toc15377208"/>
      <w:bookmarkStart w:id="27" w:name="_Toc15396606"/>
      <w:r>
        <w:rPr>
          <w:rFonts w:hint="eastAsia" w:ascii="黑体" w:hAnsi="黑体" w:eastAsia="黑体"/>
          <w:color w:val="auto"/>
          <w:sz w:val="32"/>
          <w:szCs w:val="32"/>
          <w:highlight w:val="none"/>
        </w:rPr>
        <w:t>四、财</w:t>
      </w:r>
      <w:r>
        <w:rPr>
          <w:rStyle w:val="28"/>
          <w:rFonts w:hint="eastAsia" w:ascii="黑体" w:hAnsi="黑体" w:eastAsia="黑体"/>
          <w:b w:val="0"/>
          <w:color w:val="auto"/>
          <w:highlight w:val="none"/>
        </w:rPr>
        <w:t>政拨款收入支出决算总体情况说明</w:t>
      </w:r>
      <w:bookmarkEnd w:id="26"/>
      <w:bookmarkEnd w:id="27"/>
    </w:p>
    <w:p>
      <w:pPr>
        <w:spacing w:line="600" w:lineRule="exact"/>
        <w:ind w:firstLine="640"/>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98.84</w:t>
      </w:r>
      <w:r>
        <w:rPr>
          <w:rFonts w:hint="eastAsia" w:ascii="仿宋" w:hAnsi="仿宋" w:eastAsia="仿宋"/>
          <w:color w:val="auto"/>
          <w:sz w:val="32"/>
          <w:szCs w:val="32"/>
          <w:highlight w:val="none"/>
        </w:rPr>
        <w:t>万元。</w:t>
      </w:r>
    </w:p>
    <w:p>
      <w:pPr>
        <w:spacing w:line="600" w:lineRule="exact"/>
        <w:ind w:firstLine="640" w:firstLineChars="200"/>
        <w:outlineLvl w:val="1"/>
        <w:rPr>
          <w:rStyle w:val="28"/>
          <w:rFonts w:ascii="黑体" w:hAnsi="黑体" w:eastAsia="黑体"/>
          <w:b w:val="0"/>
          <w:color w:val="auto"/>
          <w:highlight w:val="none"/>
        </w:rPr>
      </w:pPr>
      <w:bookmarkStart w:id="28" w:name="_Toc15396607"/>
      <w:bookmarkStart w:id="29"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般公共预算财政拨款支出决算情况说明</w:t>
      </w:r>
      <w:bookmarkEnd w:id="28"/>
      <w:bookmarkEnd w:id="29"/>
    </w:p>
    <w:p>
      <w:pPr>
        <w:spacing w:line="600" w:lineRule="exact"/>
        <w:ind w:firstLine="643" w:firstLineChars="200"/>
        <w:outlineLvl w:val="2"/>
        <w:rPr>
          <w:rFonts w:ascii="仿宋" w:hAnsi="仿宋" w:eastAsia="仿宋"/>
          <w:b/>
          <w:color w:val="auto"/>
          <w:sz w:val="32"/>
          <w:szCs w:val="32"/>
          <w:highlight w:val="none"/>
        </w:rPr>
      </w:pPr>
      <w:bookmarkStart w:id="30" w:name="_Toc15377210"/>
      <w:r>
        <w:rPr>
          <w:rFonts w:hint="eastAsia" w:ascii="仿宋" w:hAnsi="仿宋" w:eastAsia="仿宋"/>
          <w:b/>
          <w:color w:val="auto"/>
          <w:sz w:val="32"/>
          <w:szCs w:val="32"/>
          <w:highlight w:val="none"/>
        </w:rPr>
        <w:t>（一）一般公共预算财政拨款支出决算总体情况</w:t>
      </w:r>
      <w:bookmarkEnd w:id="30"/>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98.84</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2"/>
        <w:rPr>
          <w:rFonts w:ascii="仿宋" w:hAnsi="仿宋" w:eastAsia="仿宋"/>
          <w:b/>
          <w:color w:val="auto"/>
          <w:sz w:val="32"/>
          <w:szCs w:val="32"/>
          <w:highlight w:val="none"/>
        </w:rPr>
      </w:pPr>
      <w:bookmarkStart w:id="31" w:name="_Toc15377211"/>
      <w:r>
        <w:rPr>
          <w:rFonts w:hint="eastAsia" w:ascii="仿宋" w:hAnsi="仿宋" w:eastAsia="仿宋"/>
          <w:b/>
          <w:color w:val="auto"/>
          <w:sz w:val="32"/>
          <w:szCs w:val="32"/>
          <w:highlight w:val="none"/>
        </w:rPr>
        <w:t>（二）一般公共预算财政拨款支出决算结构情况</w:t>
      </w:r>
      <w:bookmarkEnd w:id="31"/>
    </w:p>
    <w:p>
      <w:pPr>
        <w:spacing w:line="600" w:lineRule="exact"/>
        <w:ind w:firstLine="64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20</w:t>
      </w:r>
      <w:r>
        <w:rPr>
          <w:rFonts w:hint="eastAsia" w:ascii="仿宋" w:hAnsi="仿宋" w:eastAsia="仿宋"/>
          <w:color w:val="000000" w:themeColor="text1"/>
          <w:sz w:val="32"/>
          <w:szCs w:val="32"/>
          <w:highlight w:val="none"/>
          <w:lang w:val="en-US" w:eastAsia="zh-CN"/>
          <w14:textFill>
            <w14:solidFill>
              <w14:schemeClr w14:val="tx1"/>
            </w14:solidFill>
          </w14:textFill>
        </w:rPr>
        <w:t>22</w:t>
      </w:r>
      <w:r>
        <w:rPr>
          <w:rFonts w:hint="eastAsia" w:ascii="仿宋" w:hAnsi="仿宋" w:eastAsia="仿宋"/>
          <w:color w:val="000000" w:themeColor="text1"/>
          <w:sz w:val="32"/>
          <w:szCs w:val="32"/>
          <w:highlight w:val="none"/>
          <w14:textFill>
            <w14:solidFill>
              <w14:schemeClr w14:val="tx1"/>
            </w14:solidFill>
          </w14:textFill>
        </w:rPr>
        <w:t>年一般公共预算财政拨款支出</w:t>
      </w:r>
      <w:r>
        <w:rPr>
          <w:rFonts w:hint="eastAsia" w:ascii="仿宋" w:hAnsi="仿宋" w:eastAsia="仿宋"/>
          <w:color w:val="000000" w:themeColor="text1"/>
          <w:sz w:val="32"/>
          <w:szCs w:val="32"/>
          <w:highlight w:val="none"/>
          <w:lang w:val="en-US" w:eastAsia="zh-CN"/>
          <w14:textFill>
            <w14:solidFill>
              <w14:schemeClr w14:val="tx1"/>
            </w14:solidFill>
          </w14:textFill>
        </w:rPr>
        <w:t>98.84</w:t>
      </w:r>
      <w:r>
        <w:rPr>
          <w:rFonts w:hint="eastAsia" w:ascii="仿宋" w:hAnsi="仿宋" w:eastAsia="仿宋"/>
          <w:color w:val="000000" w:themeColor="text1"/>
          <w:sz w:val="32"/>
          <w:szCs w:val="32"/>
          <w:highlight w:val="none"/>
          <w14:textFill>
            <w14:solidFill>
              <w14:schemeClr w14:val="tx1"/>
            </w14:solidFill>
          </w14:textFill>
        </w:rPr>
        <w:t>万元，主要用于以下方面</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b/>
          <w:color w:val="000000" w:themeColor="text1"/>
          <w:sz w:val="32"/>
          <w:szCs w:val="32"/>
          <w:highlight w:val="none"/>
          <w14:textFill>
            <w14:solidFill>
              <w14:schemeClr w14:val="tx1"/>
            </w14:solidFill>
          </w14:textFill>
        </w:rPr>
        <w:t>社会保障和就业</w:t>
      </w:r>
      <w:r>
        <w:rPr>
          <w:rFonts w:hint="eastAsia" w:ascii="仿宋" w:hAnsi="仿宋" w:eastAsia="仿宋"/>
          <w:b/>
          <w:bCs/>
          <w:color w:val="000000" w:themeColor="text1"/>
          <w:sz w:val="32"/>
          <w:szCs w:val="32"/>
          <w:highlight w:val="none"/>
          <w14:textFill>
            <w14:solidFill>
              <w14:schemeClr w14:val="tx1"/>
            </w14:solidFill>
          </w14:textFill>
        </w:rPr>
        <w:t>支出</w:t>
      </w:r>
      <w:r>
        <w:rPr>
          <w:rFonts w:hint="eastAsia" w:ascii="仿宋" w:hAnsi="仿宋" w:eastAsia="仿宋"/>
          <w:color w:val="000000" w:themeColor="text1"/>
          <w:sz w:val="32"/>
          <w:szCs w:val="32"/>
          <w:highlight w:val="none"/>
          <w:lang w:val="en-US" w:eastAsia="zh-CN"/>
          <w14:textFill>
            <w14:solidFill>
              <w14:schemeClr w14:val="tx1"/>
            </w14:solidFill>
          </w14:textFill>
        </w:rPr>
        <w:t>98.84</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100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eastAsia="zh-CN"/>
          <w14:textFill>
            <w14:solidFill>
              <w14:schemeClr w14:val="tx1"/>
            </w14:solidFill>
          </w14:textFill>
        </w:rPr>
        <w:t>其中机关事业单位基本养老保险支出</w:t>
      </w:r>
      <w:r>
        <w:rPr>
          <w:rFonts w:hint="eastAsia" w:ascii="仿宋" w:hAnsi="仿宋" w:eastAsia="仿宋"/>
          <w:color w:val="000000" w:themeColor="text1"/>
          <w:sz w:val="32"/>
          <w:szCs w:val="32"/>
          <w:highlight w:val="none"/>
          <w:lang w:val="en-US" w:eastAsia="zh-CN"/>
          <w14:textFill>
            <w14:solidFill>
              <w14:schemeClr w14:val="tx1"/>
            </w14:solidFill>
          </w14:textFill>
        </w:rPr>
        <w:t>1.45万元，占比1%；行政运行70.09万元，占比71%；其他红十字事业支出27.3万元，占比28%。</w:t>
      </w:r>
    </w:p>
    <w:p>
      <w:pPr>
        <w:pStyle w:val="2"/>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4685665" cy="2269490"/>
            <wp:effectExtent l="4445" t="4445" r="15240" b="12065"/>
            <wp:docPr id="5" name="图表 5"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：一般公共预算财政拨款支出决算结构）</w:t>
      </w:r>
    </w:p>
    <w:p>
      <w:pPr>
        <w:spacing w:line="600" w:lineRule="exact"/>
        <w:ind w:firstLine="643" w:firstLineChars="200"/>
        <w:outlineLvl w:val="2"/>
        <w:rPr>
          <w:rFonts w:ascii="仿宋" w:hAnsi="仿宋" w:eastAsia="仿宋"/>
          <w:b/>
          <w:color w:val="auto"/>
          <w:sz w:val="32"/>
          <w:szCs w:val="32"/>
          <w:highlight w:val="none"/>
        </w:rPr>
      </w:pPr>
      <w:bookmarkStart w:id="32" w:name="_Toc15377212"/>
      <w:r>
        <w:rPr>
          <w:rFonts w:hint="eastAsia" w:ascii="仿宋" w:hAnsi="仿宋" w:eastAsia="仿宋"/>
          <w:b/>
          <w:color w:val="auto"/>
          <w:sz w:val="32"/>
          <w:szCs w:val="32"/>
          <w:highlight w:val="none"/>
        </w:rPr>
        <w:t>（三）一般公共预算财政拨款支出决算具体情况</w:t>
      </w:r>
      <w:bookmarkEnd w:id="32"/>
    </w:p>
    <w:p>
      <w:pPr>
        <w:spacing w:line="600" w:lineRule="exact"/>
        <w:ind w:firstLine="643" w:firstLineChars="200"/>
        <w:outlineLvl w:val="2"/>
        <w:rPr>
          <w:rFonts w:ascii="仿宋" w:hAnsi="仿宋" w:eastAsia="仿宋"/>
          <w:color w:val="auto"/>
          <w:sz w:val="32"/>
          <w:szCs w:val="32"/>
          <w:highlight w:val="none"/>
        </w:rPr>
      </w:pPr>
      <w:bookmarkStart w:id="33" w:name="_Toc15378460"/>
      <w:bookmarkStart w:id="34" w:name="_Toc15377444"/>
      <w:bookmarkStart w:id="35"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98.84万元</w:t>
      </w:r>
      <w:r>
        <w:rPr>
          <w:rFonts w:hint="eastAsia" w:ascii="仿宋" w:hAnsi="仿宋" w:eastAsia="仿宋"/>
          <w:color w:val="auto"/>
          <w:sz w:val="32"/>
          <w:szCs w:val="32"/>
          <w:highlight w:val="none"/>
        </w:rPr>
        <w:t>，</w:t>
      </w:r>
      <w:r>
        <w:rPr>
          <w:rStyle w:val="16"/>
          <w:rFonts w:hint="eastAsia" w:ascii="仿宋" w:hAnsi="仿宋" w:eastAsia="仿宋"/>
          <w:bCs/>
          <w:color w:val="auto"/>
          <w:sz w:val="32"/>
          <w:szCs w:val="32"/>
          <w:highlight w:val="none"/>
        </w:rPr>
        <w:t>完成预算</w:t>
      </w:r>
      <w:r>
        <w:rPr>
          <w:rStyle w:val="16"/>
          <w:rFonts w:hint="eastAsia" w:ascii="仿宋" w:hAnsi="仿宋" w:eastAsia="仿宋"/>
          <w:bCs/>
          <w:color w:val="auto"/>
          <w:sz w:val="32"/>
          <w:szCs w:val="32"/>
          <w:highlight w:val="none"/>
          <w:lang w:val="en-US" w:eastAsia="zh-CN"/>
        </w:rPr>
        <w:t>100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bookmarkEnd w:id="33"/>
      <w:bookmarkEnd w:id="34"/>
      <w:bookmarkEnd w:id="35"/>
    </w:p>
    <w:p>
      <w:pPr>
        <w:spacing w:line="600" w:lineRule="exact"/>
        <w:ind w:firstLine="643" w:firstLineChars="200"/>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1</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社会保障和就业（类）</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（款）</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98.84</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tabs>
          <w:tab w:val="right" w:pos="8306"/>
        </w:tabs>
        <w:spacing w:line="600" w:lineRule="exact"/>
        <w:ind w:firstLine="640"/>
        <w:outlineLvl w:val="1"/>
        <w:rPr>
          <w:rStyle w:val="28"/>
          <w:color w:val="auto"/>
          <w:highlight w:val="none"/>
        </w:rPr>
      </w:pPr>
      <w:bookmarkStart w:id="36" w:name="_Toc15377214"/>
      <w:bookmarkStart w:id="37"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般公共预算财政拨款基本支出决算情况说明</w:t>
      </w:r>
      <w:bookmarkEnd w:id="36"/>
      <w:bookmarkEnd w:id="37"/>
      <w:r>
        <w:rPr>
          <w:rStyle w:val="28"/>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71.54</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64.8</w:t>
      </w:r>
      <w:r>
        <w:rPr>
          <w:rFonts w:hint="eastAsia" w:ascii="仿宋" w:hAnsi="仿宋" w:eastAsia="仿宋"/>
          <w:color w:val="auto"/>
          <w:sz w:val="32"/>
          <w:szCs w:val="32"/>
          <w:highlight w:val="none"/>
        </w:rPr>
        <w:t>万元，主要包括：基本工资</w:t>
      </w:r>
      <w:r>
        <w:rPr>
          <w:rFonts w:hint="eastAsia" w:ascii="仿宋" w:hAnsi="仿宋" w:eastAsia="仿宋"/>
          <w:color w:val="auto"/>
          <w:sz w:val="32"/>
          <w:szCs w:val="32"/>
          <w:highlight w:val="none"/>
          <w:lang w:val="en-US" w:eastAsia="zh-CN"/>
        </w:rPr>
        <w:t>14.95万元</w:t>
      </w:r>
      <w:r>
        <w:rPr>
          <w:rFonts w:hint="eastAsia" w:ascii="仿宋" w:hAnsi="仿宋" w:eastAsia="仿宋"/>
          <w:color w:val="auto"/>
          <w:sz w:val="32"/>
          <w:szCs w:val="32"/>
          <w:highlight w:val="none"/>
        </w:rPr>
        <w:t>、津贴补贴</w:t>
      </w:r>
      <w:r>
        <w:rPr>
          <w:rFonts w:hint="eastAsia" w:ascii="仿宋" w:hAnsi="仿宋" w:eastAsia="仿宋"/>
          <w:color w:val="auto"/>
          <w:sz w:val="32"/>
          <w:szCs w:val="32"/>
          <w:highlight w:val="none"/>
          <w:lang w:val="en-US" w:eastAsia="zh-CN"/>
        </w:rPr>
        <w:t>43.8万元</w:t>
      </w:r>
      <w:r>
        <w:rPr>
          <w:rFonts w:hint="eastAsia" w:ascii="仿宋" w:hAnsi="仿宋" w:eastAsia="仿宋"/>
          <w:color w:val="auto"/>
          <w:sz w:val="32"/>
          <w:szCs w:val="32"/>
          <w:highlight w:val="none"/>
        </w:rPr>
        <w:t>、机关事业单位基本养老保险缴费</w:t>
      </w:r>
      <w:r>
        <w:rPr>
          <w:rFonts w:hint="eastAsia" w:ascii="仿宋" w:hAnsi="仿宋" w:eastAsia="仿宋"/>
          <w:color w:val="auto"/>
          <w:sz w:val="32"/>
          <w:szCs w:val="32"/>
          <w:highlight w:val="none"/>
          <w:lang w:val="en-US" w:eastAsia="zh-CN"/>
        </w:rPr>
        <w:t>1.45万元</w:t>
      </w:r>
      <w:r>
        <w:rPr>
          <w:rFonts w:hint="eastAsia" w:ascii="仿宋" w:hAnsi="仿宋" w:eastAsia="仿宋"/>
          <w:color w:val="auto"/>
          <w:sz w:val="32"/>
          <w:szCs w:val="32"/>
          <w:highlight w:val="none"/>
        </w:rPr>
        <w:t>、其他社会保障缴费</w:t>
      </w:r>
      <w:r>
        <w:rPr>
          <w:rFonts w:hint="eastAsia" w:ascii="仿宋" w:hAnsi="仿宋" w:eastAsia="仿宋"/>
          <w:color w:val="auto"/>
          <w:sz w:val="32"/>
          <w:szCs w:val="32"/>
          <w:highlight w:val="none"/>
          <w:lang w:val="en-US" w:eastAsia="zh-CN"/>
        </w:rPr>
        <w:t>1.99万元</w:t>
      </w:r>
      <w:r>
        <w:rPr>
          <w:rFonts w:hint="eastAsia" w:ascii="仿宋" w:hAnsi="仿宋" w:eastAsia="仿宋"/>
          <w:color w:val="auto"/>
          <w:sz w:val="32"/>
          <w:szCs w:val="32"/>
          <w:highlight w:val="none"/>
        </w:rPr>
        <w:t>、其他工资福利支出</w:t>
      </w:r>
      <w:r>
        <w:rPr>
          <w:rFonts w:hint="eastAsia" w:ascii="仿宋" w:hAnsi="仿宋" w:eastAsia="仿宋"/>
          <w:color w:val="auto"/>
          <w:sz w:val="32"/>
          <w:szCs w:val="32"/>
          <w:highlight w:val="none"/>
          <w:lang w:val="en-US" w:eastAsia="zh-CN"/>
        </w:rPr>
        <w:t>2.61万元</w:t>
      </w:r>
      <w:r>
        <w:rPr>
          <w:rFonts w:hint="eastAsia" w:ascii="仿宋" w:hAnsi="仿宋" w:eastAsia="仿宋"/>
          <w:color w:val="auto"/>
          <w:sz w:val="32"/>
          <w:szCs w:val="32"/>
          <w:highlight w:val="none"/>
          <w:lang w:eastAsia="zh-CN"/>
        </w:rPr>
        <w:t>等</w:t>
      </w:r>
      <w:r>
        <w:rPr>
          <w:rFonts w:hint="eastAsia" w:ascii="仿宋" w:hAnsi="仿宋" w:eastAsia="仿宋"/>
          <w:color w:val="auto"/>
          <w:sz w:val="32"/>
          <w:szCs w:val="32"/>
          <w:highlight w:val="none"/>
        </w:rPr>
        <w:t>。</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6.74</w:t>
      </w:r>
      <w:r>
        <w:rPr>
          <w:rFonts w:hint="eastAsia" w:ascii="仿宋" w:hAnsi="仿宋" w:eastAsia="仿宋"/>
          <w:color w:val="auto"/>
          <w:sz w:val="32"/>
          <w:szCs w:val="32"/>
          <w:highlight w:val="none"/>
        </w:rPr>
        <w:t>万元，主要包括：办公费</w:t>
      </w:r>
      <w:r>
        <w:rPr>
          <w:rFonts w:hint="eastAsia" w:ascii="仿宋" w:hAnsi="仿宋" w:eastAsia="仿宋"/>
          <w:color w:val="auto"/>
          <w:sz w:val="32"/>
          <w:szCs w:val="32"/>
          <w:highlight w:val="none"/>
          <w:lang w:val="en-US" w:eastAsia="zh-CN"/>
        </w:rPr>
        <w:t>0.7万元</w:t>
      </w:r>
      <w:r>
        <w:rPr>
          <w:rFonts w:hint="eastAsia" w:ascii="仿宋" w:hAnsi="仿宋" w:eastAsia="仿宋"/>
          <w:color w:val="auto"/>
          <w:sz w:val="32"/>
          <w:szCs w:val="32"/>
          <w:highlight w:val="none"/>
        </w:rPr>
        <w:t>、印刷费</w:t>
      </w:r>
      <w:r>
        <w:rPr>
          <w:rFonts w:hint="eastAsia" w:ascii="仿宋" w:hAnsi="仿宋" w:eastAsia="仿宋"/>
          <w:color w:val="auto"/>
          <w:sz w:val="32"/>
          <w:szCs w:val="32"/>
          <w:highlight w:val="none"/>
          <w:lang w:val="en-US" w:eastAsia="zh-CN"/>
        </w:rPr>
        <w:t>0.28万元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水费</w:t>
      </w:r>
      <w:r>
        <w:rPr>
          <w:rFonts w:hint="eastAsia" w:ascii="仿宋" w:hAnsi="仿宋" w:eastAsia="仿宋"/>
          <w:color w:val="auto"/>
          <w:sz w:val="32"/>
          <w:szCs w:val="32"/>
          <w:highlight w:val="none"/>
          <w:lang w:val="en-US" w:eastAsia="zh-CN"/>
        </w:rPr>
        <w:t>0.14万元</w:t>
      </w:r>
      <w:r>
        <w:rPr>
          <w:rFonts w:hint="eastAsia" w:ascii="仿宋" w:hAnsi="仿宋" w:eastAsia="仿宋"/>
          <w:color w:val="auto"/>
          <w:sz w:val="32"/>
          <w:szCs w:val="32"/>
          <w:highlight w:val="none"/>
        </w:rPr>
        <w:t>、电费</w:t>
      </w:r>
      <w:r>
        <w:rPr>
          <w:rFonts w:hint="eastAsia" w:ascii="仿宋" w:hAnsi="仿宋" w:eastAsia="仿宋"/>
          <w:color w:val="auto"/>
          <w:sz w:val="32"/>
          <w:szCs w:val="32"/>
          <w:highlight w:val="none"/>
          <w:lang w:val="en-US" w:eastAsia="zh-CN"/>
        </w:rPr>
        <w:t>0.14万元</w:t>
      </w:r>
      <w:r>
        <w:rPr>
          <w:rFonts w:hint="eastAsia" w:ascii="仿宋" w:hAnsi="仿宋" w:eastAsia="仿宋"/>
          <w:color w:val="auto"/>
          <w:sz w:val="32"/>
          <w:szCs w:val="32"/>
          <w:highlight w:val="none"/>
        </w:rPr>
        <w:t>、邮电费</w:t>
      </w:r>
      <w:r>
        <w:rPr>
          <w:rFonts w:hint="eastAsia" w:ascii="仿宋" w:hAnsi="仿宋" w:eastAsia="仿宋"/>
          <w:color w:val="auto"/>
          <w:sz w:val="32"/>
          <w:szCs w:val="32"/>
          <w:highlight w:val="none"/>
          <w:lang w:val="en-US" w:eastAsia="zh-CN"/>
        </w:rPr>
        <w:t>0.28万元</w:t>
      </w:r>
      <w:r>
        <w:rPr>
          <w:rFonts w:hint="eastAsia" w:ascii="仿宋" w:hAnsi="仿宋" w:eastAsia="仿宋"/>
          <w:color w:val="auto"/>
          <w:sz w:val="32"/>
          <w:szCs w:val="32"/>
          <w:highlight w:val="none"/>
        </w:rPr>
        <w:t>、差旅费</w:t>
      </w:r>
      <w:r>
        <w:rPr>
          <w:rFonts w:hint="eastAsia" w:ascii="仿宋" w:hAnsi="仿宋" w:eastAsia="仿宋"/>
          <w:color w:val="auto"/>
          <w:sz w:val="32"/>
          <w:szCs w:val="32"/>
          <w:highlight w:val="none"/>
          <w:lang w:val="en-US" w:eastAsia="zh-CN"/>
        </w:rPr>
        <w:t>1.68万元</w:t>
      </w:r>
      <w:r>
        <w:rPr>
          <w:rFonts w:hint="eastAsia" w:ascii="仿宋" w:hAnsi="仿宋" w:eastAsia="仿宋"/>
          <w:color w:val="auto"/>
          <w:sz w:val="32"/>
          <w:szCs w:val="32"/>
          <w:highlight w:val="none"/>
        </w:rPr>
        <w:t>、劳务费</w:t>
      </w:r>
      <w:r>
        <w:rPr>
          <w:rFonts w:hint="eastAsia" w:ascii="仿宋" w:hAnsi="仿宋" w:eastAsia="仿宋"/>
          <w:color w:val="auto"/>
          <w:sz w:val="32"/>
          <w:szCs w:val="32"/>
          <w:highlight w:val="none"/>
          <w:lang w:val="en-US" w:eastAsia="zh-CN"/>
        </w:rPr>
        <w:t>0.28万元</w:t>
      </w:r>
      <w:r>
        <w:rPr>
          <w:rFonts w:hint="eastAsia" w:ascii="仿宋" w:hAnsi="仿宋" w:eastAsia="仿宋"/>
          <w:color w:val="auto"/>
          <w:sz w:val="32"/>
          <w:szCs w:val="32"/>
          <w:highlight w:val="none"/>
        </w:rPr>
        <w:t>、工会经费</w:t>
      </w:r>
      <w:r>
        <w:rPr>
          <w:rFonts w:hint="eastAsia" w:ascii="仿宋" w:hAnsi="仿宋" w:eastAsia="仿宋"/>
          <w:color w:val="auto"/>
          <w:sz w:val="32"/>
          <w:szCs w:val="32"/>
          <w:highlight w:val="none"/>
          <w:lang w:val="en-US" w:eastAsia="zh-CN"/>
        </w:rPr>
        <w:t>0.25万元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福利费</w:t>
      </w:r>
      <w:r>
        <w:rPr>
          <w:rFonts w:hint="eastAsia" w:ascii="仿宋" w:hAnsi="仿宋" w:eastAsia="仿宋"/>
          <w:color w:val="auto"/>
          <w:sz w:val="32"/>
          <w:szCs w:val="32"/>
          <w:highlight w:val="none"/>
          <w:lang w:val="en-US" w:eastAsia="zh-CN"/>
        </w:rPr>
        <w:t>0.49万元、</w:t>
      </w:r>
      <w:r>
        <w:rPr>
          <w:rFonts w:hint="eastAsia" w:ascii="仿宋" w:hAnsi="仿宋" w:eastAsia="仿宋"/>
          <w:color w:val="auto"/>
          <w:sz w:val="32"/>
          <w:szCs w:val="32"/>
          <w:highlight w:val="none"/>
        </w:rPr>
        <w:t>其他商品和服务支出</w:t>
      </w:r>
      <w:r>
        <w:rPr>
          <w:rFonts w:hint="eastAsia" w:ascii="仿宋" w:hAnsi="仿宋" w:eastAsia="仿宋"/>
          <w:color w:val="auto"/>
          <w:sz w:val="32"/>
          <w:szCs w:val="32"/>
          <w:highlight w:val="none"/>
          <w:lang w:val="en-US" w:eastAsia="zh-CN"/>
        </w:rPr>
        <w:t>0.49万元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其他资本性支出</w:t>
      </w:r>
      <w:r>
        <w:rPr>
          <w:rFonts w:hint="eastAsia" w:ascii="仿宋" w:hAnsi="仿宋" w:eastAsia="仿宋"/>
          <w:color w:val="auto"/>
          <w:sz w:val="32"/>
          <w:szCs w:val="32"/>
          <w:highlight w:val="none"/>
          <w:lang w:val="en-US" w:eastAsia="zh-CN"/>
        </w:rPr>
        <w:t>2.01</w:t>
      </w:r>
      <w:r>
        <w:rPr>
          <w:rFonts w:hint="eastAsia" w:ascii="仿宋" w:hAnsi="仿宋" w:eastAsia="仿宋"/>
          <w:color w:val="auto"/>
          <w:sz w:val="32"/>
          <w:szCs w:val="32"/>
          <w:highlight w:val="none"/>
        </w:rPr>
        <w:t>等。</w:t>
      </w:r>
    </w:p>
    <w:p>
      <w:pPr>
        <w:spacing w:line="600" w:lineRule="exact"/>
        <w:ind w:firstLine="640"/>
        <w:outlineLvl w:val="1"/>
        <w:rPr>
          <w:rStyle w:val="28"/>
          <w:rFonts w:ascii="黑体" w:hAnsi="黑体" w:eastAsia="黑体"/>
          <w:b w:val="0"/>
          <w:color w:val="auto"/>
          <w:highlight w:val="none"/>
        </w:rPr>
      </w:pPr>
      <w:bookmarkStart w:id="38" w:name="_Toc15377215"/>
      <w:bookmarkStart w:id="39" w:name="_Toc15396609"/>
      <w:r>
        <w:rPr>
          <w:rFonts w:hint="eastAsia" w:ascii="黑体" w:eastAsia="黑体"/>
          <w:color w:val="auto"/>
          <w:sz w:val="32"/>
          <w:szCs w:val="32"/>
          <w:highlight w:val="none"/>
        </w:rPr>
        <w:t>七、</w:t>
      </w:r>
      <w:r>
        <w:rPr>
          <w:rStyle w:val="28"/>
          <w:rFonts w:hint="eastAsia" w:ascii="黑体" w:hAnsi="黑体" w:eastAsia="黑体"/>
          <w:b w:val="0"/>
          <w:color w:val="auto"/>
          <w:highlight w:val="none"/>
        </w:rPr>
        <w:t>财政拨款</w:t>
      </w:r>
      <w:r>
        <w:rPr>
          <w:rStyle w:val="28"/>
          <w:rFonts w:hint="eastAsia" w:ascii="黑体" w:hAnsi="黑体" w:eastAsia="黑体"/>
          <w:color w:val="auto"/>
          <w:highlight w:val="none"/>
        </w:rPr>
        <w:t>“</w:t>
      </w:r>
      <w:r>
        <w:rPr>
          <w:rStyle w:val="28"/>
          <w:rFonts w:hint="eastAsia" w:ascii="黑体" w:hAnsi="黑体" w:eastAsia="黑体"/>
          <w:b w:val="0"/>
          <w:color w:val="auto"/>
          <w:highlight w:val="none"/>
        </w:rPr>
        <w:t>三公”经费支出决算情况说明</w:t>
      </w:r>
      <w:bookmarkEnd w:id="38"/>
      <w:bookmarkEnd w:id="39"/>
    </w:p>
    <w:p>
      <w:pPr>
        <w:spacing w:line="600" w:lineRule="exact"/>
        <w:ind w:firstLine="640"/>
        <w:outlineLvl w:val="2"/>
        <w:rPr>
          <w:rFonts w:ascii="仿宋" w:hAnsi="仿宋" w:eastAsia="仿宋"/>
          <w:b/>
          <w:color w:val="auto"/>
          <w:sz w:val="32"/>
          <w:szCs w:val="32"/>
          <w:highlight w:val="none"/>
        </w:rPr>
      </w:pPr>
      <w:bookmarkStart w:id="40" w:name="_Toc15377216"/>
      <w:r>
        <w:rPr>
          <w:rFonts w:hint="eastAsia" w:ascii="仿宋" w:hAnsi="仿宋" w:eastAsia="仿宋"/>
          <w:b/>
          <w:color w:val="auto"/>
          <w:sz w:val="32"/>
          <w:szCs w:val="32"/>
          <w:highlight w:val="none"/>
        </w:rPr>
        <w:t>（一）“三公”经费财政拨款支出决算总体情况说明</w:t>
      </w:r>
      <w:bookmarkEnd w:id="40"/>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outlineLvl w:val="1"/>
        <w:rPr>
          <w:rStyle w:val="28"/>
          <w:rFonts w:ascii="黑体" w:hAnsi="黑体" w:eastAsia="黑体"/>
          <w:color w:val="auto"/>
          <w:highlight w:val="none"/>
        </w:rPr>
      </w:pPr>
      <w:bookmarkStart w:id="41" w:name="_Toc15377218"/>
      <w:bookmarkStart w:id="42" w:name="_Toc15396610"/>
      <w:r>
        <w:rPr>
          <w:rFonts w:hint="eastAsia" w:ascii="黑体" w:eastAsia="黑体"/>
          <w:color w:val="auto"/>
          <w:sz w:val="32"/>
          <w:szCs w:val="32"/>
          <w:highlight w:val="none"/>
        </w:rPr>
        <w:t>八、</w:t>
      </w:r>
      <w:r>
        <w:rPr>
          <w:rStyle w:val="28"/>
          <w:rFonts w:hint="eastAsia" w:ascii="黑体" w:hAnsi="黑体" w:eastAsia="黑体"/>
          <w:b w:val="0"/>
          <w:color w:val="auto"/>
          <w:highlight w:val="none"/>
        </w:rPr>
        <w:t>政府性基金预算支出决算情况说明</w:t>
      </w:r>
      <w:bookmarkEnd w:id="41"/>
      <w:bookmarkEnd w:id="42"/>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0"/>
        </w:numPr>
        <w:spacing w:line="600" w:lineRule="exact"/>
        <w:ind w:firstLine="640" w:firstLineChars="200"/>
        <w:outlineLvl w:val="1"/>
        <w:rPr>
          <w:rStyle w:val="28"/>
          <w:rFonts w:ascii="黑体" w:hAnsi="黑体" w:eastAsia="黑体"/>
          <w:b w:val="0"/>
          <w:color w:val="auto"/>
          <w:highlight w:val="none"/>
        </w:rPr>
      </w:pPr>
      <w:bookmarkStart w:id="43" w:name="_Toc15396611"/>
      <w:bookmarkStart w:id="44" w:name="_Toc15377219"/>
      <w:r>
        <w:rPr>
          <w:rStyle w:val="28"/>
          <w:rFonts w:hint="eastAsia" w:ascii="黑体" w:hAnsi="黑体" w:eastAsia="黑体"/>
          <w:b w:val="0"/>
          <w:color w:val="auto"/>
          <w:highlight w:val="none"/>
          <w:lang w:eastAsia="zh-CN"/>
        </w:rPr>
        <w:t>九、</w:t>
      </w:r>
      <w:r>
        <w:rPr>
          <w:rStyle w:val="28"/>
          <w:rFonts w:hint="eastAsia" w:ascii="黑体" w:hAnsi="黑体" w:eastAsia="黑体"/>
          <w:b w:val="0"/>
          <w:color w:val="auto"/>
          <w:highlight w:val="none"/>
        </w:rPr>
        <w:t>国有资本经营预算支出决算情况说明</w:t>
      </w:r>
      <w:bookmarkEnd w:id="43"/>
      <w:bookmarkEnd w:id="44"/>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0"/>
        </w:numPr>
        <w:spacing w:line="600" w:lineRule="exact"/>
        <w:ind w:firstLine="640" w:firstLineChars="200"/>
        <w:outlineLvl w:val="1"/>
        <w:rPr>
          <w:rStyle w:val="28"/>
          <w:rFonts w:hint="eastAsia" w:ascii="黑体" w:hAnsi="黑体" w:eastAsia="黑体"/>
          <w:b w:val="0"/>
          <w:color w:val="auto"/>
          <w:highlight w:val="none"/>
        </w:rPr>
      </w:pPr>
      <w:bookmarkStart w:id="45" w:name="_Toc15377221"/>
      <w:bookmarkStart w:id="46" w:name="_Toc15396612"/>
      <w:r>
        <w:rPr>
          <w:rStyle w:val="28"/>
          <w:rFonts w:hint="eastAsia" w:ascii="黑体" w:hAnsi="黑体" w:eastAsia="黑体"/>
          <w:b w:val="0"/>
          <w:color w:val="auto"/>
          <w:highlight w:val="none"/>
          <w:lang w:eastAsia="zh-CN"/>
        </w:rPr>
        <w:t>十、</w:t>
      </w:r>
      <w:r>
        <w:rPr>
          <w:rStyle w:val="28"/>
          <w:rFonts w:hint="eastAsia" w:ascii="黑体" w:hAnsi="黑体" w:eastAsia="黑体"/>
          <w:b w:val="0"/>
          <w:color w:val="auto"/>
          <w:highlight w:val="none"/>
        </w:rPr>
        <w:t>其他重要事项的情况说明</w:t>
      </w:r>
      <w:bookmarkEnd w:id="45"/>
      <w:bookmarkEnd w:id="46"/>
    </w:p>
    <w:p>
      <w:pPr>
        <w:spacing w:line="600" w:lineRule="exact"/>
        <w:ind w:firstLine="643" w:firstLineChars="200"/>
        <w:outlineLvl w:val="2"/>
        <w:rPr>
          <w:rFonts w:ascii="仿宋" w:hAnsi="仿宋" w:eastAsia="仿宋"/>
          <w:color w:val="auto"/>
          <w:sz w:val="32"/>
          <w:szCs w:val="32"/>
          <w:highlight w:val="none"/>
        </w:rPr>
      </w:pPr>
      <w:bookmarkStart w:id="47" w:name="_Toc15377222"/>
      <w:r>
        <w:rPr>
          <w:rFonts w:hint="eastAsia" w:ascii="仿宋" w:hAnsi="仿宋" w:eastAsia="仿宋"/>
          <w:b/>
          <w:color w:val="auto"/>
          <w:sz w:val="32"/>
          <w:szCs w:val="32"/>
          <w:highlight w:val="none"/>
        </w:rPr>
        <w:t>（一）机关运行经费支出情况</w:t>
      </w:r>
      <w:bookmarkEnd w:id="47"/>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泸县红十字会</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6.73</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3"/>
      <w:r>
        <w:rPr>
          <w:rFonts w:hint="eastAsia" w:ascii="仿宋" w:hAnsi="仿宋" w:eastAsia="仿宋"/>
          <w:b/>
          <w:color w:val="auto"/>
          <w:sz w:val="32"/>
          <w:szCs w:val="32"/>
          <w:highlight w:val="none"/>
        </w:rPr>
        <w:t>（二）政府采购支出情况</w:t>
      </w:r>
      <w:bookmarkEnd w:id="48"/>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泸县红十字会</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9" w:name="_Toc15377224"/>
      <w:r>
        <w:rPr>
          <w:rFonts w:hint="eastAsia" w:ascii="仿宋" w:hAnsi="仿宋" w:eastAsia="仿宋"/>
          <w:b/>
          <w:color w:val="auto"/>
          <w:sz w:val="32"/>
          <w:szCs w:val="32"/>
          <w:highlight w:val="none"/>
        </w:rPr>
        <w:t>（三）国有资产占有使用情况</w:t>
      </w:r>
      <w:bookmarkEnd w:id="49"/>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泸县红十字会</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color w:val="auto"/>
          <w:sz w:val="32"/>
          <w:szCs w:val="32"/>
          <w:highlight w:val="none"/>
          <w:lang w:eastAsia="zh-CN"/>
        </w:rPr>
        <w:t>救灾工作、自愿活动、三献、人道救助</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个项目开展绩效监控。</w:t>
      </w:r>
    </w:p>
    <w:p>
      <w:pPr>
        <w:widowControl/>
        <w:ind w:firstLine="643" w:firstLineChars="200"/>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2"/>
        </w:numPr>
        <w:spacing w:line="600" w:lineRule="exact"/>
        <w:ind w:firstLine="660" w:firstLineChars="150"/>
        <w:jc w:val="center"/>
        <w:outlineLvl w:val="0"/>
        <w:rPr>
          <w:rStyle w:val="27"/>
          <w:rFonts w:ascii="黑体" w:hAnsi="黑体" w:eastAsia="黑体"/>
          <w:b w:val="0"/>
          <w:color w:val="auto"/>
          <w:highlight w:val="none"/>
        </w:rPr>
      </w:pPr>
      <w:bookmarkStart w:id="50" w:name="_Toc15377225"/>
      <w:bookmarkStart w:id="51" w:name="_Toc15396613"/>
      <w:r>
        <w:rPr>
          <w:rFonts w:hint="eastAsia" w:ascii="黑体" w:hAnsi="黑体" w:eastAsia="黑体"/>
          <w:color w:val="auto"/>
          <w:sz w:val="44"/>
          <w:szCs w:val="44"/>
          <w:highlight w:val="none"/>
        </w:rPr>
        <w:t>名</w:t>
      </w:r>
      <w:r>
        <w:rPr>
          <w:rStyle w:val="27"/>
          <w:rFonts w:hint="eastAsia" w:ascii="黑体" w:hAnsi="黑体" w:eastAsia="黑体"/>
          <w:b w:val="0"/>
          <w:color w:val="auto"/>
          <w:highlight w:val="none"/>
        </w:rPr>
        <w:t>词解释</w:t>
      </w:r>
      <w:bookmarkEnd w:id="50"/>
      <w:bookmarkEnd w:id="51"/>
    </w:p>
    <w:p>
      <w:pPr>
        <w:spacing w:line="600" w:lineRule="exact"/>
        <w:jc w:val="left"/>
        <w:rPr>
          <w:rFonts w:ascii="宋体"/>
          <w:b/>
          <w:color w:val="auto"/>
          <w:sz w:val="44"/>
          <w:szCs w:val="44"/>
          <w:highlight w:val="none"/>
        </w:rPr>
      </w:pP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5"/>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5"/>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25"/>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5"/>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7.社会保障和就业支出：反映政府在社会保障和就业方面的支出。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cs="黑体"/>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auto"/>
          <w:sz w:val="44"/>
          <w:szCs w:val="44"/>
          <w:highlight w:val="none"/>
        </w:rPr>
      </w:pPr>
      <w:bookmarkStart w:id="52" w:name="_Toc15396614"/>
      <w:bookmarkStart w:id="53" w:name="_Toc15377226"/>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Style w:val="27"/>
          <w:rFonts w:hint="eastAsia" w:ascii="黑体" w:hAnsi="黑体" w:eastAsia="黑体"/>
          <w:b w:val="0"/>
          <w:color w:val="auto"/>
          <w:highlight w:val="none"/>
          <w:lang w:eastAsia="zh-CN"/>
        </w:rPr>
      </w:pPr>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四部分 附件</w:t>
      </w:r>
      <w:bookmarkEnd w:id="52"/>
    </w:p>
    <w:p>
      <w:pPr>
        <w:keepNext w:val="0"/>
        <w:keepLines w:val="0"/>
        <w:pageBreakBefore w:val="0"/>
        <w:kinsoku/>
        <w:wordWrap/>
        <w:overflowPunct/>
        <w:topLinePunct w:val="0"/>
        <w:autoSpaceDE/>
        <w:autoSpaceDN/>
        <w:bidi w:val="0"/>
        <w:spacing w:line="572" w:lineRule="exact"/>
        <w:jc w:val="left"/>
        <w:textAlignment w:val="auto"/>
        <w:outlineLvl w:val="0"/>
        <w:rPr>
          <w:rFonts w:ascii="方正小标宋简体" w:hAnsi="方正小标宋简体" w:eastAsia="方正小标宋简体" w:cs="方正小标宋简体"/>
          <w:color w:val="auto"/>
          <w:sz w:val="44"/>
          <w:szCs w:val="44"/>
          <w:highlight w:val="none"/>
        </w:rPr>
      </w:pPr>
      <w:r>
        <w:rPr>
          <w:rFonts w:hint="eastAsia" w:ascii="黑体" w:hAnsi="黑体" w:eastAsia="黑体" w:cs="黑体"/>
          <w:color w:val="auto"/>
          <w:sz w:val="32"/>
          <w:szCs w:val="32"/>
          <w:highlight w:val="none"/>
        </w:rPr>
        <w:t>附件</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ascii="黑体" w:hAnsi="宋体" w:eastAsia="黑体" w:cs="宋体"/>
          <w:color w:val="auto"/>
          <w:kern w:val="0"/>
          <w:sz w:val="32"/>
          <w:szCs w:val="32"/>
          <w:highlight w:val="none"/>
          <w:shd w:val="clear" w:color="auto" w:fill="FFFFFF"/>
        </w:rPr>
      </w:pPr>
      <w:r>
        <w:rPr>
          <w:rFonts w:hint="eastAsia" w:ascii="宋体" w:hAnsi="宋体" w:eastAsia="宋体"/>
          <w:b/>
          <w:color w:val="auto"/>
          <w:sz w:val="32"/>
          <w:szCs w:val="32"/>
          <w:highlight w:val="none"/>
          <w:shd w:val="clear" w:color="auto" w:fill="FFFFFF"/>
        </w:rPr>
        <w:t>20</w:t>
      </w:r>
      <w:r>
        <w:rPr>
          <w:rFonts w:hint="eastAsia" w:ascii="宋体" w:hAnsi="宋体" w:eastAsia="宋体"/>
          <w:b/>
          <w:color w:val="auto"/>
          <w:sz w:val="32"/>
          <w:szCs w:val="32"/>
          <w:highlight w:val="none"/>
          <w:shd w:val="clear" w:color="auto" w:fill="FFFFFF"/>
          <w:lang w:val="en-US" w:eastAsia="zh-CN"/>
        </w:rPr>
        <w:t>23</w:t>
      </w:r>
      <w:r>
        <w:rPr>
          <w:rFonts w:hint="eastAsia" w:ascii="宋体" w:hAnsi="宋体" w:eastAsia="宋体"/>
          <w:b/>
          <w:color w:val="auto"/>
          <w:sz w:val="32"/>
          <w:szCs w:val="32"/>
          <w:highlight w:val="none"/>
          <w:shd w:val="clear" w:color="auto" w:fill="FFFFFF"/>
        </w:rPr>
        <w:t>年</w:t>
      </w:r>
      <w:r>
        <w:rPr>
          <w:rFonts w:hint="eastAsia" w:ascii="宋体" w:hAnsi="宋体"/>
          <w:b/>
          <w:color w:val="auto"/>
          <w:sz w:val="32"/>
          <w:szCs w:val="32"/>
          <w:highlight w:val="none"/>
          <w:shd w:val="clear" w:color="auto" w:fill="FFFFFF"/>
          <w:lang w:val="en-US" w:eastAsia="zh-CN"/>
        </w:rPr>
        <w:t>泸县</w:t>
      </w:r>
      <w:r>
        <w:rPr>
          <w:rFonts w:hint="eastAsia" w:ascii="宋体" w:hAnsi="宋体" w:eastAsia="宋体"/>
          <w:b/>
          <w:color w:val="auto"/>
          <w:sz w:val="32"/>
          <w:szCs w:val="32"/>
          <w:highlight w:val="none"/>
          <w:shd w:val="clear" w:color="auto" w:fill="FFFFFF"/>
        </w:rPr>
        <w:t>部门整体绩效评价报告</w:t>
      </w:r>
    </w:p>
    <w:p>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color w:val="000000" w:themeColor="text1"/>
          <w:kern w:val="0"/>
          <w:sz w:val="32"/>
          <w:szCs w:val="32"/>
          <w:highlight w:val="none"/>
          <w:shd w:val="clear" w:color="auto" w:fill="FFFFFF"/>
          <w:lang w:val="zh-CN"/>
          <w14:textFill>
            <w14:solidFill>
              <w14:schemeClr w14:val="tx1"/>
            </w14:solidFill>
          </w14:textFill>
        </w:rPr>
      </w:pPr>
      <w:r>
        <w:rPr>
          <w:rFonts w:hint="eastAsia" w:ascii="黑体" w:hAnsi="宋体" w:eastAsia="黑体" w:cs="宋体"/>
          <w:color w:val="000000" w:themeColor="text1"/>
          <w:kern w:val="0"/>
          <w:sz w:val="32"/>
          <w:szCs w:val="32"/>
          <w:highlight w:val="none"/>
          <w:shd w:val="clear" w:color="auto" w:fill="FFFFFF"/>
          <w:lang w:val="zh-CN"/>
          <w14:textFill>
            <w14:solidFill>
              <w14:schemeClr w14:val="tx1"/>
            </w14:solidFill>
          </w14:textFill>
        </w:rPr>
        <w:t>部门（单位）基本情况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t>（一）机构组成。（简要介绍）</w:t>
      </w:r>
    </w:p>
    <w:p>
      <w:pPr>
        <w:snapToGrid w:val="0"/>
        <w:spacing w:line="520" w:lineRule="exact"/>
        <w:ind w:firstLine="640" w:firstLineChars="200"/>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泸县红十字会核定内设机构</w:t>
      </w:r>
      <w:r>
        <w:rPr>
          <w:rFonts w:hint="eastAsia" w:ascii="仿宋_GB2312" w:hAnsi="仿宋" w:eastAsia="仿宋_GB2312"/>
          <w:color w:val="000000" w:themeColor="text1"/>
          <w:sz w:val="32"/>
          <w:szCs w:val="32"/>
          <w:lang w:val="en-US" w:eastAsia="zh-CN"/>
          <w14:textFill>
            <w14:solidFill>
              <w14:schemeClr w14:val="tx1"/>
            </w14:solidFill>
          </w14:textFill>
        </w:rPr>
        <w:t>2个，分别为综合股（救护赈济股）和监督审计股。</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t>（二）机构职能和人员概况。（简要介绍）</w:t>
      </w:r>
    </w:p>
    <w:p>
      <w:pPr>
        <w:snapToGrid w:val="0"/>
        <w:spacing w:line="520" w:lineRule="exact"/>
        <w:ind w:firstLine="640" w:firstLineChars="200"/>
        <w:rPr>
          <w:rFonts w:hint="default" w:ascii="仿宋_GB2312" w:hAnsi="仿宋" w:eastAsia="仿宋_GB2312" w:cs="Times New Roman"/>
          <w:color w:val="000000" w:themeColor="text1"/>
          <w:sz w:val="32"/>
          <w:szCs w:val="32"/>
          <w:lang w:val="en-US" w:eastAsia="zh-CN"/>
          <w14:textFill>
            <w14:solidFill>
              <w14:schemeClr w14:val="tx1"/>
            </w14:solidFill>
          </w14:textFill>
        </w:rPr>
      </w:pPr>
      <w:r>
        <w:rPr>
          <w:rFonts w:hint="eastAsia" w:ascii="仿宋_GB2312" w:hAnsi="仿宋" w:eastAsia="仿宋_GB2312" w:cs="Times New Roman"/>
          <w:color w:val="000000" w:themeColor="text1"/>
          <w:sz w:val="32"/>
          <w:szCs w:val="32"/>
          <w:lang w:val="en-US" w:eastAsia="zh-CN"/>
          <w14:textFill>
            <w14:solidFill>
              <w14:schemeClr w14:val="tx1"/>
            </w14:solidFill>
          </w14:textFill>
        </w:rPr>
        <w:t>核定编制3名，实际在岗人员4名。综合股（救护赈济股）负责办公室综合业务及对外协调、备灾救灾、应急救护培训、开展人道救助及相关服务工作，推动无偿献血，组织参与造血干细胞捐献、遗体和人体器官（组织）捐献相关工作，工作人员1名；监督审计股负责监事会日常工作，工作人员1名。</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t>（三）年度主要工作任务。</w:t>
      </w:r>
    </w:p>
    <w:p>
      <w:pPr>
        <w:snapToGrid w:val="0"/>
        <w:spacing w:line="520" w:lineRule="exact"/>
        <w:ind w:firstLine="640" w:firstLineChars="200"/>
        <w:rPr>
          <w:rFonts w:hint="default" w:ascii="仿宋_GB2312" w:hAnsi="仿宋" w:eastAsia="仿宋_GB2312" w:cs="Times New Roman"/>
          <w:color w:val="000000" w:themeColor="text1"/>
          <w:sz w:val="32"/>
          <w:szCs w:val="32"/>
          <w:lang w:val="en-US" w:eastAsia="zh-CN"/>
          <w14:textFill>
            <w14:solidFill>
              <w14:schemeClr w14:val="tx1"/>
            </w14:solidFill>
          </w14:textFill>
        </w:rPr>
      </w:pPr>
      <w:r>
        <w:rPr>
          <w:rFonts w:hint="eastAsia" w:ascii="仿宋_GB2312" w:hAnsi="仿宋" w:eastAsia="仿宋_GB2312" w:cs="Times New Roman"/>
          <w:color w:val="000000" w:themeColor="text1"/>
          <w:sz w:val="32"/>
          <w:szCs w:val="32"/>
          <w:lang w:val="en-US" w:eastAsia="zh-CN"/>
          <w14:textFill>
            <w14:solidFill>
              <w14:schemeClr w14:val="tx1"/>
            </w14:solidFill>
          </w14:textFill>
        </w:rPr>
        <w:t>应急救护员培训600人，普及培训8500人，申报白血病、先心病人数7人以上，设立固定造血干细胞采集点，遗体和人体器官（组织）捐献登记不少于572人，全年筹资40万元以上，完成5·8人道资源动员项目和9·9腾讯公益项目筹资任务，建立2支志愿服务队伍，每月开展一次志愿服务活动，建立固定宣传平台，每月向市红会报送宣传信息，做好一报一刊订阅工作，新增建立5个基层组织，发展成人会员50人以上，青少年会员100人以上，团体会员1个以上，做好会费收缴管理工作。</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t>（四）部门整体支出绩效目标。</w:t>
      </w:r>
    </w:p>
    <w:p>
      <w:pPr>
        <w:snapToGrid w:val="0"/>
        <w:spacing w:line="520" w:lineRule="exact"/>
        <w:ind w:firstLine="640" w:firstLineChars="200"/>
        <w:rPr>
          <w:rFonts w:hint="default" w:ascii="仿宋_GB2312" w:hAnsi="仿宋" w:eastAsia="仿宋_GB2312" w:cs="Times New Roman"/>
          <w:color w:val="000000" w:themeColor="text1"/>
          <w:sz w:val="32"/>
          <w:szCs w:val="32"/>
          <w:lang w:val="en-US" w:eastAsia="zh-CN"/>
          <w14:textFill>
            <w14:solidFill>
              <w14:schemeClr w14:val="tx1"/>
            </w14:solidFill>
          </w14:textFill>
        </w:rPr>
      </w:pPr>
      <w:r>
        <w:rPr>
          <w:rFonts w:hint="eastAsia" w:ascii="仿宋_GB2312" w:hAnsi="仿宋" w:eastAsia="仿宋_GB2312" w:cs="Times New Roman"/>
          <w:color w:val="000000" w:themeColor="text1"/>
          <w:sz w:val="32"/>
          <w:szCs w:val="32"/>
          <w:lang w:val="en-US" w:eastAsia="zh-CN"/>
          <w14:textFill>
            <w14:solidFill>
              <w14:schemeClr w14:val="tx1"/>
            </w14:solidFill>
          </w14:textFill>
        </w:rPr>
        <w:t>一是产出指标，时效指标完成情况，包括红十字搜救队救灾救援及时性≥80%，数量指标完成情况，包括红十字救护员培训人数大于600人，普及培训人数15243人，遗体和人体器官（组织）捐献登记610人，开展志愿服务活动场次35场，质量指标完成情况，包括白血病、先心病儿童的申报成功率100%；二是效益指标，社会效益指标完成情况，包括造血干细胞捐献、遗体和人体器官（组织）捐献、人道救助项目政策等知晓率≥90%；三是满意度指标，服务对象满意度指标完成情况，包括应急救护培训、人道救助服务、捐献登记咨询等服务对象满意度100%，未有任何不良反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w:t>
      </w:r>
      <w:r>
        <w:rPr>
          <w:rFonts w:hint="eastAsia" w:ascii="黑体" w:hAnsi="宋体" w:eastAsia="黑体" w:cs="宋体"/>
          <w:color w:val="auto"/>
          <w:kern w:val="0"/>
          <w:sz w:val="32"/>
          <w:szCs w:val="32"/>
          <w:highlight w:val="none"/>
          <w:shd w:val="clear" w:color="auto" w:fill="FFFFFF"/>
          <w:lang w:eastAsia="zh-CN"/>
        </w:rPr>
        <w:t>部门</w:t>
      </w:r>
      <w:r>
        <w:rPr>
          <w:rFonts w:hint="eastAsia" w:ascii="黑体" w:hAnsi="宋体" w:eastAsia="黑体" w:cs="宋体"/>
          <w:color w:val="auto"/>
          <w:kern w:val="0"/>
          <w:sz w:val="32"/>
          <w:szCs w:val="32"/>
          <w:highlight w:val="none"/>
          <w:shd w:val="clear" w:color="auto" w:fill="FFFFFF"/>
        </w:rPr>
        <w:t>资金收支情况</w:t>
      </w:r>
    </w:p>
    <w:p>
      <w:pPr>
        <w:keepNext w:val="0"/>
        <w:keepLines w:val="0"/>
        <w:pageBreakBefore w:val="0"/>
        <w:widowControl/>
        <w:kinsoku/>
        <w:wordWrap/>
        <w:overflowPunct/>
        <w:topLinePunct w:val="0"/>
        <w:autoSpaceDE/>
        <w:autoSpaceDN/>
        <w:bidi w:val="0"/>
        <w:adjustRightInd w:val="0"/>
        <w:snapToGrid w:val="0"/>
        <w:spacing w:line="560" w:lineRule="exact"/>
        <w:ind w:firstLine="964" w:firstLineChars="3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部门总体收支情况。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1.部门总体收入情况</w:t>
      </w:r>
    </w:p>
    <w:p>
      <w:pPr>
        <w:pStyle w:val="6"/>
        <w:ind w:firstLine="640" w:firstLineChars="200"/>
        <w:rPr>
          <w:rFonts w:hint="default"/>
          <w:lang w:val="en-US" w:eastAsia="zh-CN"/>
        </w:rPr>
      </w:pPr>
      <w:r>
        <w:rPr>
          <w:rFonts w:hint="eastAsia" w:hAnsi="仿宋_GB2312" w:cs="仿宋_GB2312"/>
          <w:b w:val="0"/>
          <w:bCs w:val="0"/>
          <w:color w:val="auto"/>
          <w:kern w:val="0"/>
          <w:sz w:val="32"/>
          <w:szCs w:val="32"/>
          <w:highlight w:val="none"/>
          <w:shd w:val="clear" w:color="auto" w:fill="FFFFFF"/>
          <w:lang w:val="en-US" w:eastAsia="zh-CN"/>
        </w:rPr>
        <w:t>本部门2022年度收入合计98.84万元。</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2.部门总体支出情况</w:t>
      </w:r>
    </w:p>
    <w:p>
      <w:pPr>
        <w:pStyle w:val="6"/>
        <w:ind w:firstLine="640" w:firstLineChars="200"/>
        <w:rPr>
          <w:rFonts w:hint="eastAsia" w:hAnsi="仿宋_GB2312" w:cs="仿宋_GB2312"/>
          <w:b w:val="0"/>
          <w:bCs w:val="0"/>
          <w:color w:val="auto"/>
          <w:kern w:val="0"/>
          <w:sz w:val="32"/>
          <w:szCs w:val="32"/>
          <w:highlight w:val="none"/>
          <w:shd w:val="clear" w:color="auto" w:fill="FFFFFF"/>
          <w:lang w:val="en-US" w:eastAsia="zh-CN"/>
        </w:rPr>
      </w:pPr>
      <w:r>
        <w:rPr>
          <w:rFonts w:hint="eastAsia" w:hAnsi="仿宋_GB2312" w:cs="仿宋_GB2312"/>
          <w:b w:val="0"/>
          <w:bCs w:val="0"/>
          <w:color w:val="auto"/>
          <w:kern w:val="0"/>
          <w:sz w:val="32"/>
          <w:szCs w:val="32"/>
          <w:highlight w:val="none"/>
          <w:shd w:val="clear" w:color="auto" w:fill="FFFFFF"/>
          <w:lang w:val="en-US" w:eastAsia="zh-CN"/>
        </w:rPr>
        <w:t>本部门2022年度支出合计98.84万元。</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3.部门总体结转结余情况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hAnsi="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本部门本年无结转结余资金。</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部门整体绩效</w:t>
      </w:r>
      <w:r>
        <w:rPr>
          <w:rFonts w:hint="eastAsia" w:ascii="黑体" w:hAnsi="宋体" w:eastAsia="黑体" w:cs="宋体"/>
          <w:color w:val="auto"/>
          <w:kern w:val="0"/>
          <w:sz w:val="32"/>
          <w:szCs w:val="32"/>
          <w:highlight w:val="none"/>
          <w:u w:val="none"/>
          <w:shd w:val="clear" w:color="auto" w:fill="FFFFFF"/>
          <w:lang w:eastAsia="zh-CN"/>
        </w:rPr>
        <w:t>分析</w:t>
      </w:r>
      <w:r>
        <w:rPr>
          <w:rFonts w:hint="eastAsia" w:ascii="黑体" w:hAnsi="宋体" w:eastAsia="黑体" w:cs="宋体"/>
          <w:color w:val="auto"/>
          <w:kern w:val="0"/>
          <w:sz w:val="32"/>
          <w:szCs w:val="32"/>
          <w:highlight w:val="none"/>
          <w:shd w:val="clear" w:color="auto" w:fill="FFFFFF"/>
        </w:rPr>
        <w:t>（根据适用指标体系进行调整</w:t>
      </w:r>
      <w:r>
        <w:rPr>
          <w:rFonts w:hint="eastAsia" w:ascii="黑体" w:hAnsi="宋体" w:eastAsia="黑体" w:cs="宋体"/>
          <w:color w:val="auto"/>
          <w:kern w:val="0"/>
          <w:sz w:val="32"/>
          <w:szCs w:val="32"/>
          <w:highlight w:val="none"/>
          <w:shd w:val="clear" w:color="auto" w:fill="FFFFFF"/>
          <w:lang w:eastAsia="zh-CN"/>
        </w:rPr>
        <w:t>，涉及到有专项资金预算项目的部门，专项资金预算项目自评报告作为本报告附件一并公开</w:t>
      </w:r>
      <w:r>
        <w:rPr>
          <w:rFonts w:hint="eastAsia" w:ascii="黑体" w:hAnsi="宋体" w:eastAsia="黑体" w:cs="宋体"/>
          <w:color w:val="auto"/>
          <w:kern w:val="0"/>
          <w:sz w:val="32"/>
          <w:szCs w:val="32"/>
          <w:highlight w:val="none"/>
          <w:shd w:val="clear" w:color="auto" w:fill="FFFFFF"/>
        </w:rPr>
        <w:t>）</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rPr>
        <w:t>（一）部门预算项目绩效分析。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1.人员类项目绩效分析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本部门以严格执行各相关财经政策，保障职工工资及时、足额发放，社保及时、足额缴纳，预算编制科学合理，减少结余资金为项目绩效目标，</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2022年度，县财政下达人员类经费共计64.81万元，本部门实际执行64.81万元，执行率100%</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。每月由财政部门集中支付，资金支付标准、支付依据合法合规，无截留、挪用等现象。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2.运转类项目绩效分析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本部门运转类支出主要用于保障单位水电气费、邮电费及</w:t>
      </w:r>
      <w:r>
        <w:rPr>
          <w:rFonts w:hint="eastAsia" w:ascii="仿宋" w:hAnsi="仿宋" w:eastAsia="仿宋"/>
          <w:color w:val="auto"/>
          <w:sz w:val="32"/>
          <w:szCs w:val="32"/>
          <w:highlight w:val="none"/>
        </w:rPr>
        <w:t>办公费、印刷费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水费、电费、邮电费、差旅费、劳务费、工会经费等</w:t>
      </w:r>
      <w:r>
        <w:rPr>
          <w:rFonts w:hint="eastAsia" w:ascii="仿宋" w:hAnsi="仿宋" w:eastAsia="仿宋"/>
          <w:color w:val="auto"/>
          <w:sz w:val="32"/>
          <w:szCs w:val="32"/>
          <w:highlight w:val="none"/>
          <w:lang w:eastAsia="zh-CN"/>
        </w:rPr>
        <w:t>日常性支出。</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2022年度县财政下达运转类经费共计4.73万元，本部门实际执行4.73万元，执行率100%</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3.特定目标类项目绩效分析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本部门特定目标类主要包括救灾救护、三献、人道救助、志愿服务、办公设备购置。2022年度县财政下达项目经费共计27.3万元，本部门实际执行27.3万元，执行率100%</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eastAsia" w:ascii="Times New Roman" w:hAnsi="Times New Roman" w:eastAsia="仿宋_GB2312" w:cs="Times New Roman"/>
          <w:sz w:val="32"/>
          <w:szCs w:val="32"/>
          <w:lang w:val="en-US" w:eastAsia="zh-CN"/>
        </w:rPr>
        <w:t>财务紧紧围绕预算编制、预算执行、支付管理、监督保障等方面，在项目实施过程中严格执行财务管理制度，项目经费采取授权支付形式按照月申报进度完成了预算。</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（二）部门整体履职绩效分析。</w:t>
      </w:r>
    </w:p>
    <w:p>
      <w:pPr>
        <w:snapToGrid w:val="0"/>
        <w:spacing w:line="520" w:lineRule="exact"/>
        <w:ind w:firstLine="640" w:firstLineChars="200"/>
        <w:rPr>
          <w:rFonts w:hint="default" w:ascii="仿宋_GB2312" w:hAnsi="仿宋_GB2312" w:eastAsia="仿宋_GB2312" w:cs="仿宋_GB2312"/>
          <w:b w:val="0"/>
          <w:bCs w:val="0"/>
          <w:color w:val="000000" w:themeColor="text1"/>
          <w:kern w:val="0"/>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shd w:val="clear" w:color="auto" w:fill="FFFFFF"/>
          <w:lang w:val="en-US" w:eastAsia="zh-CN"/>
          <w14:textFill>
            <w14:solidFill>
              <w14:schemeClr w14:val="tx1"/>
            </w14:solidFill>
          </w14:textFill>
        </w:rPr>
        <w:t>部门整体绩效和履职共</w:t>
      </w:r>
      <w:r>
        <w:rPr>
          <w:rFonts w:hint="eastAsia" w:ascii="仿宋_GB2312" w:hAnsi="仿宋" w:eastAsia="仿宋_GB2312"/>
          <w:color w:val="000000" w:themeColor="text1"/>
          <w:sz w:val="32"/>
          <w:szCs w:val="32"/>
          <w:lang w:eastAsia="zh-CN"/>
          <w14:textFill>
            <w14:solidFill>
              <w14:schemeClr w14:val="tx1"/>
            </w14:solidFill>
          </w14:textFill>
        </w:rPr>
        <w:t>分为三献工作、救灾工作、志愿服务工作、救护培训工作、人道救助工作和办公设备购置</w:t>
      </w:r>
      <w:r>
        <w:rPr>
          <w:rFonts w:hint="eastAsia" w:ascii="仿宋_GB2312" w:hAnsi="仿宋" w:eastAsia="仿宋_GB2312"/>
          <w:color w:val="000000" w:themeColor="text1"/>
          <w:sz w:val="32"/>
          <w:szCs w:val="32"/>
          <w:lang w:val="en-US" w:eastAsia="zh-CN"/>
          <w14:textFill>
            <w14:solidFill>
              <w14:schemeClr w14:val="tx1"/>
            </w14:solidFill>
          </w14:textFill>
        </w:rPr>
        <w:t>6个。因为客观原因，县红十字会办公阵地还未完全落实，大部分办公设备比如桌子、椅子、空调等均未购买，不满足年初制定的绩效目标。造干捐献5例、器官捐献1例，人体器官捐献登记610人，开展三献宣传工作，完成三献工作项目绩效目标。积极开展救灾工作，受益人数达6200余人，完成救灾献工作项目绩效目标。建立2支注册志愿服务队伍，新增志愿者81人，全年开展志愿服务活动不少于12次，完成志愿服务工作项目绩效目标。全年应急救护普及培训15243人，救护员培训604人，全年开展培训场次30多场，完成救护培训工作项目绩效目标。全年救助白血病、先心病儿童7名，通过9·9公益日筹资和博爱送万家等活动</w:t>
      </w:r>
      <w:bookmarkStart w:id="68" w:name="_GoBack"/>
      <w:bookmarkEnd w:id="68"/>
      <w:r>
        <w:rPr>
          <w:rFonts w:hint="eastAsia" w:ascii="仿宋_GB2312" w:hAnsi="仿宋" w:eastAsia="仿宋_GB2312"/>
          <w:color w:val="000000" w:themeColor="text1"/>
          <w:sz w:val="32"/>
          <w:szCs w:val="32"/>
          <w:lang w:val="en-US" w:eastAsia="zh-CN"/>
          <w14:textFill>
            <w14:solidFill>
              <w14:schemeClr w14:val="tx1"/>
            </w14:solidFill>
          </w14:textFill>
        </w:rPr>
        <w:t>救助困难群众400余人次，完成人道救助工作项目绩效目标。在项目执行中恪守职能职责，认真对标整体绩效目标，积极开展各项工作，取得不错的成效。</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（三）结果应用情况。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重视绩效管理，严格执行绩效评价，比对各个指标结果进行总结、分析，以结果为导向，健全绩效评估与绩效评价结果挂钩机制，针对绩效评价发现的问题，采取有力措施进行整改。</w:t>
      </w: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自评质量。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本部门对11个项目开展了自评，自评得分均在98分以上。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（一）评价结论。</w:t>
      </w:r>
    </w:p>
    <w:p>
      <w:pPr>
        <w:pStyle w:val="2"/>
        <w:ind w:firstLine="640" w:firstLineChars="200"/>
        <w:rPr>
          <w:rFonts w:hint="eastAsia" w:ascii="仿宋_GB2312" w:hAnsi="仿宋" w:eastAsia="仿宋_GB2312" w:cs="Times New Roman"/>
          <w:color w:val="000000" w:themeColor="text1"/>
          <w:kern w:val="2"/>
          <w:sz w:val="32"/>
          <w:szCs w:val="32"/>
          <w:lang w:val="zh-CN" w:eastAsia="zh-CN" w:bidi="ar-SA"/>
          <w14:textFill>
            <w14:solidFill>
              <w14:schemeClr w14:val="tx1"/>
            </w14:solidFill>
          </w14:textFill>
        </w:rPr>
      </w:pP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2022年本部门完成了各项既定目标，</w:t>
      </w:r>
      <w:r>
        <w:rPr>
          <w:rFonts w:hint="eastAsia" w:ascii="仿宋_GB2312" w:hAnsi="仿宋" w:eastAsia="仿宋_GB2312" w:cs="Times New Roman"/>
          <w:color w:val="000000" w:themeColor="text1"/>
          <w:kern w:val="2"/>
          <w:sz w:val="32"/>
          <w:szCs w:val="32"/>
          <w:lang w:val="zh-CN" w:eastAsia="zh-CN" w:bidi="ar-SA"/>
          <w14:textFill>
            <w14:solidFill>
              <w14:schemeClr w14:val="tx1"/>
            </w14:solidFill>
          </w14:textFill>
        </w:rPr>
        <w:t>很好的保障了干部职工工资社保待遇，严格按照三公经费支出要求，专款专用，保障单位日常运转，未造成任何不良影响和反馈。办公设备采购及时，保障了日常办公的基本需要。在开展各项救灾救援、救护培训活动中未收到任何不良反馈，取得较好的效果，提升人民群众防灾避险意识和应急救护能力。帮助10儿童申请了大病儿童人道救助，通过积极宣传，咨询人数较往年有很好的提升。全年培训救护员604人，普及培训15243人，受众涵盖各行各业，有效提升了人们的自救互救能力。宣传上取得了一定的效果，实现造血干细胞成功捐献5例，遗体和人体器官（组织）捐献登记610人。全年开展红十字救助项目宣传、艾滋病预防宣传和救护知识培训等志愿服务活动35场次，志愿服务时长2593小时，有效提升了红十字会工作的知晓率和公信力。</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（二）存在问题。</w:t>
      </w:r>
    </w:p>
    <w:p>
      <w:pPr>
        <w:pStyle w:val="2"/>
        <w:ind w:firstLine="640" w:firstLineChars="200"/>
        <w:rPr>
          <w:rFonts w:hint="eastAsia" w:ascii="仿宋_GB2312" w:hAnsi="仿宋" w:eastAsia="仿宋_GB2312" w:cs="Times New Roman"/>
          <w:color w:val="000000" w:themeColor="text1"/>
          <w:kern w:val="2"/>
          <w:sz w:val="32"/>
          <w:szCs w:val="32"/>
          <w:lang w:val="zh-CN" w:eastAsia="zh-CN" w:bidi="ar-SA"/>
          <w14:textFill>
            <w14:solidFill>
              <w14:schemeClr w14:val="tx1"/>
            </w14:solidFill>
          </w14:textFill>
        </w:rPr>
      </w:pPr>
      <w:r>
        <w:rPr>
          <w:rFonts w:hint="eastAsia" w:ascii="仿宋_GB2312" w:hAnsi="仿宋" w:eastAsia="仿宋_GB2312" w:cs="Times New Roman"/>
          <w:color w:val="000000" w:themeColor="text1"/>
          <w:kern w:val="2"/>
          <w:sz w:val="32"/>
          <w:szCs w:val="32"/>
          <w:lang w:val="zh-CN" w:eastAsia="zh-CN" w:bidi="ar-SA"/>
          <w14:textFill>
            <w14:solidFill>
              <w14:schemeClr w14:val="tx1"/>
            </w14:solidFill>
          </w14:textFill>
        </w:rPr>
        <w:t>因客观因素办公阵地较局限，办公设备采购数量不多；宣传范围较为局限，因单位人员力量有限，较为偏远的村可能不知晓政策；因救护员培训只能参加一次，救护员培训人员组织上有一定的难度；对于造血干细胞捐献存在一定的误解；对不确定性的救灾，造成一些项目资金执行率不稳，从而影响总体执行率，基本支出经费保障水平偏低。</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pPr>
      <w:r>
        <w:rPr>
          <w:rFonts w:hint="eastAsia" w:ascii="楷体_GB2312" w:hAnsi="楷体_GB2312" w:eastAsia="楷体_GB2312" w:cs="楷体_GB2312"/>
          <w:b/>
          <w:bCs/>
          <w:color w:val="auto"/>
          <w:kern w:val="0"/>
          <w:sz w:val="32"/>
          <w:szCs w:val="32"/>
          <w:highlight w:val="none"/>
          <w:shd w:val="clear" w:color="auto" w:fill="FFFFFF"/>
          <w:lang w:val="zh-CN"/>
        </w:rPr>
        <w:t>（</w:t>
      </w:r>
      <w:r>
        <w:rPr>
          <w:rFonts w:hint="eastAsia" w:ascii="楷体_GB2312" w:hAnsi="楷体_GB2312" w:eastAsia="楷体_GB2312" w:cs="楷体_GB2312"/>
          <w:b/>
          <w:bCs/>
          <w:color w:val="auto"/>
          <w:kern w:val="0"/>
          <w:sz w:val="32"/>
          <w:szCs w:val="32"/>
          <w:highlight w:val="none"/>
          <w:shd w:val="clear" w:color="auto" w:fill="FFFFFF"/>
          <w:lang w:val="en-US" w:eastAsia="zh-CN"/>
        </w:rPr>
        <w:t>三</w:t>
      </w:r>
      <w:r>
        <w:rPr>
          <w:rFonts w:hint="eastAsia" w:ascii="楷体_GB2312" w:hAnsi="楷体_GB2312" w:eastAsia="楷体_GB2312" w:cs="楷体_GB2312"/>
          <w:b/>
          <w:bCs/>
          <w:color w:val="auto"/>
          <w:kern w:val="0"/>
          <w:sz w:val="32"/>
          <w:szCs w:val="32"/>
          <w:highlight w:val="none"/>
          <w:shd w:val="clear" w:color="auto" w:fill="FFFFFF"/>
          <w:lang w:val="zh-CN"/>
        </w:rPr>
        <w:t>）改进建议。</w:t>
      </w:r>
    </w:p>
    <w:p>
      <w:pPr>
        <w:pStyle w:val="2"/>
        <w:numPr>
          <w:ilvl w:val="0"/>
          <w:numId w:val="0"/>
        </w:numPr>
        <w:ind w:firstLine="640" w:firstLineChars="200"/>
        <w:rPr>
          <w:rFonts w:hint="eastAsia" w:ascii="仿宋_GB2312" w:hAnsi="仿宋" w:eastAsia="仿宋_GB2312" w:cs="Times New Roman"/>
          <w:color w:val="000000" w:themeColor="text1"/>
          <w:kern w:val="2"/>
          <w:sz w:val="32"/>
          <w:szCs w:val="32"/>
          <w:lang w:val="zh-CN" w:eastAsia="zh-CN" w:bidi="ar-SA"/>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3" w:bottom="1440" w:left="1803" w:header="851" w:footer="992" w:gutter="0"/>
          <w:pgNumType w:fmt="decimal"/>
          <w:cols w:space="0" w:num="1"/>
          <w:rtlGutter w:val="0"/>
          <w:docGrid w:type="lines" w:linePitch="317" w:charSpace="0"/>
        </w:sectPr>
      </w:pPr>
      <w:r>
        <w:rPr>
          <w:rFonts w:hint="eastAsia" w:ascii="仿宋_GB2312" w:hAnsi="仿宋" w:eastAsia="仿宋_GB2312" w:cs="Times New Roman"/>
          <w:color w:val="000000" w:themeColor="text1"/>
          <w:kern w:val="2"/>
          <w:sz w:val="32"/>
          <w:szCs w:val="32"/>
          <w:lang w:val="zh-CN" w:eastAsia="zh-CN" w:bidi="ar-SA"/>
          <w14:textFill>
            <w14:solidFill>
              <w14:schemeClr w14:val="tx1"/>
            </w14:solidFill>
          </w14:textFill>
        </w:rPr>
        <w:t>逐步完善阵地建设，完善办公需求；逐步完善基层组织建设，力争覆盖每个村（社区），将救助政策宣传到每一处；加大救护培训相关知识的宣传，激发群众想要学习救护的兴趣，更多的培训救护员；加大造干细胞捐献的知识，动员更多的人加入捐献队伍中来；积极动员全部的志愿者都参与各项活动，充分发挥自身优势，更好地为群众做实事；加强预算编制的前瞻性，按政策规定及本部门的发展规划，结合本年度收支变化因素，科学合理地编制预算草案，避免项目支出与基本支出划分不准或预算支出与实际执行支出出现较大偏差的情况，执行中确需调剂预算的，按规定程序报经批准。</w:t>
      </w:r>
    </w:p>
    <w:p>
      <w:pPr>
        <w:pStyle w:val="13"/>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部门预算项目支出绩效自评表（2022年度）</w:t>
      </w:r>
    </w:p>
    <w:p>
      <w:pPr>
        <w:pStyle w:val="2"/>
        <w:rPr>
          <w:rStyle w:val="27"/>
          <w:rFonts w:ascii="黑体" w:hAnsi="黑体" w:eastAsia="黑体"/>
          <w:b w:val="0"/>
          <w:color w:val="auto"/>
          <w:highlight w:val="none"/>
        </w:rPr>
        <w:sectPr>
          <w:pgSz w:w="11906" w:h="16838"/>
          <w:pgMar w:top="1440" w:right="1803" w:bottom="1440" w:left="1803" w:header="851" w:footer="992" w:gutter="0"/>
          <w:pgNumType w:fmt="decimal"/>
          <w:cols w:space="0" w:num="1"/>
          <w:rtlGutter w:val="0"/>
          <w:docGrid w:type="lines" w:linePitch="317" w:charSpace="0"/>
        </w:sectPr>
      </w:pPr>
    </w:p>
    <w:p>
      <w:pPr>
        <w:pStyle w:val="2"/>
        <w:rPr>
          <w:rStyle w:val="27"/>
          <w:rFonts w:ascii="黑体" w:hAnsi="黑体" w:eastAsia="黑体"/>
          <w:b w:val="0"/>
          <w:color w:val="auto"/>
          <w:highlight w:val="none"/>
        </w:rPr>
      </w:pPr>
    </w:p>
    <w:p>
      <w:pPr>
        <w:spacing w:line="600" w:lineRule="exact"/>
        <w:jc w:val="center"/>
        <w:outlineLvl w:val="0"/>
        <w:rPr>
          <w:rFonts w:hint="eastAsia" w:ascii="仿宋" w:hAnsi="仿宋" w:eastAsia="仿宋"/>
          <w:b w:val="0"/>
          <w:color w:val="auto"/>
          <w:highlight w:val="none"/>
        </w:rPr>
      </w:pPr>
      <w:bookmarkStart w:id="54" w:name="_Toc15396618"/>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五部分 附表</w:t>
      </w:r>
      <w:bookmarkEnd w:id="53"/>
      <w:bookmarkEnd w:id="54"/>
      <w:bookmarkStart w:id="55"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8"/>
          <w:rFonts w:hint="eastAsia" w:ascii="仿宋" w:hAnsi="仿宋" w:eastAsia="仿宋"/>
          <w:b w:val="0"/>
          <w:bCs w:val="0"/>
          <w:color w:val="auto"/>
          <w:highlight w:val="none"/>
        </w:rPr>
        <w:t>入支出决算总表</w:t>
      </w:r>
      <w:bookmarkEnd w:id="55"/>
    </w:p>
    <w:p>
      <w:pPr>
        <w:pStyle w:val="4"/>
        <w:rPr>
          <w:rFonts w:ascii="仿宋" w:hAnsi="仿宋" w:eastAsia="仿宋"/>
          <w:color w:val="auto"/>
          <w:highlight w:val="none"/>
        </w:rPr>
      </w:pPr>
      <w:bookmarkStart w:id="56" w:name="_Toc15396620"/>
      <w:r>
        <w:rPr>
          <w:rFonts w:hint="eastAsia" w:ascii="仿宋" w:hAnsi="仿宋" w:eastAsia="仿宋"/>
          <w:b w:val="0"/>
          <w:color w:val="auto"/>
          <w:highlight w:val="none"/>
        </w:rPr>
        <w:t>二、收</w:t>
      </w:r>
      <w:r>
        <w:rPr>
          <w:rStyle w:val="28"/>
          <w:rFonts w:hint="eastAsia" w:ascii="仿宋" w:hAnsi="仿宋" w:eastAsia="仿宋"/>
          <w:b w:val="0"/>
          <w:bCs w:val="0"/>
          <w:color w:val="auto"/>
          <w:highlight w:val="none"/>
        </w:rPr>
        <w:t>入决算表</w:t>
      </w:r>
      <w:bookmarkEnd w:id="56"/>
    </w:p>
    <w:p>
      <w:pPr>
        <w:pStyle w:val="4"/>
        <w:rPr>
          <w:rFonts w:ascii="仿宋" w:hAnsi="仿宋" w:eastAsia="仿宋"/>
          <w:color w:val="auto"/>
          <w:highlight w:val="none"/>
        </w:rPr>
      </w:pPr>
      <w:bookmarkStart w:id="57" w:name="_Toc15396621"/>
      <w:r>
        <w:rPr>
          <w:rStyle w:val="28"/>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8"/>
          <w:rFonts w:hint="eastAsia" w:ascii="仿宋" w:hAnsi="仿宋" w:eastAsia="仿宋"/>
          <w:b w:val="0"/>
          <w:bCs w:val="0"/>
          <w:color w:val="auto"/>
          <w:highlight w:val="none"/>
        </w:rPr>
        <w:t>出决算表</w:t>
      </w:r>
      <w:bookmarkEnd w:id="57"/>
    </w:p>
    <w:p>
      <w:pPr>
        <w:pStyle w:val="4"/>
        <w:rPr>
          <w:rFonts w:ascii="仿宋" w:hAnsi="仿宋" w:eastAsia="仿宋"/>
          <w:b w:val="0"/>
          <w:color w:val="auto"/>
          <w:highlight w:val="none"/>
        </w:rPr>
      </w:pPr>
      <w:bookmarkStart w:id="58" w:name="_Toc15396622"/>
      <w:r>
        <w:rPr>
          <w:rStyle w:val="28"/>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政拨款收入支出决算总表</w:t>
      </w:r>
      <w:bookmarkEnd w:id="58"/>
    </w:p>
    <w:p>
      <w:pPr>
        <w:pStyle w:val="4"/>
        <w:rPr>
          <w:rStyle w:val="28"/>
          <w:rFonts w:ascii="仿宋" w:hAnsi="仿宋" w:eastAsia="仿宋"/>
          <w:b w:val="0"/>
          <w:bCs w:val="0"/>
          <w:color w:val="auto"/>
          <w:highlight w:val="none"/>
        </w:rPr>
      </w:pPr>
      <w:bookmarkStart w:id="59" w:name="_Toc15396623"/>
      <w:r>
        <w:rPr>
          <w:rStyle w:val="28"/>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政拨款支出决算明细表</w:t>
      </w:r>
      <w:bookmarkEnd w:id="59"/>
      <w:bookmarkStart w:id="60" w:name="_Toc15396624"/>
    </w:p>
    <w:p>
      <w:pPr>
        <w:pStyle w:val="4"/>
        <w:rPr>
          <w:rFonts w:ascii="仿宋" w:hAnsi="仿宋" w:eastAsia="仿宋"/>
          <w:color w:val="auto"/>
          <w:highlight w:val="none"/>
        </w:rPr>
      </w:pPr>
      <w:r>
        <w:rPr>
          <w:rStyle w:val="28"/>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般公共预算财政拨款支出决算表</w:t>
      </w:r>
      <w:bookmarkEnd w:id="60"/>
    </w:p>
    <w:p>
      <w:pPr>
        <w:pStyle w:val="4"/>
        <w:rPr>
          <w:rFonts w:ascii="仿宋" w:hAnsi="仿宋" w:eastAsia="仿宋"/>
          <w:color w:val="auto"/>
          <w:highlight w:val="none"/>
        </w:rPr>
      </w:pPr>
      <w:bookmarkStart w:id="61" w:name="_Toc15396625"/>
      <w:r>
        <w:rPr>
          <w:rStyle w:val="28"/>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般公共预算财政拨款支出决算明细表</w:t>
      </w:r>
      <w:bookmarkEnd w:id="61"/>
    </w:p>
    <w:p>
      <w:pPr>
        <w:pStyle w:val="4"/>
        <w:rPr>
          <w:rFonts w:ascii="仿宋" w:hAnsi="仿宋" w:eastAsia="仿宋"/>
          <w:color w:val="auto"/>
          <w:highlight w:val="none"/>
        </w:rPr>
      </w:pPr>
      <w:bookmarkStart w:id="62" w:name="_Toc15396626"/>
      <w:r>
        <w:rPr>
          <w:rStyle w:val="28"/>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般公共预算财政拨款基本支出决算表</w:t>
      </w:r>
      <w:bookmarkEnd w:id="62"/>
    </w:p>
    <w:p>
      <w:pPr>
        <w:pStyle w:val="4"/>
        <w:rPr>
          <w:rFonts w:ascii="仿宋" w:hAnsi="仿宋" w:eastAsia="仿宋"/>
          <w:color w:val="auto"/>
          <w:highlight w:val="none"/>
        </w:rPr>
      </w:pPr>
      <w:bookmarkStart w:id="63" w:name="_Toc15396627"/>
      <w:r>
        <w:rPr>
          <w:rStyle w:val="28"/>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般公共预算财政拨款项目支出决算表</w:t>
      </w:r>
      <w:bookmarkEnd w:id="63"/>
    </w:p>
    <w:p>
      <w:pPr>
        <w:pStyle w:val="4"/>
        <w:rPr>
          <w:rFonts w:ascii="仿宋" w:hAnsi="仿宋" w:eastAsia="仿宋"/>
          <w:color w:val="auto"/>
          <w:highlight w:val="none"/>
        </w:rPr>
      </w:pPr>
      <w:bookmarkStart w:id="64" w:name="_Toc15396628"/>
      <w:r>
        <w:rPr>
          <w:rStyle w:val="28"/>
          <w:rFonts w:hint="eastAsia" w:ascii="仿宋" w:hAnsi="仿宋" w:eastAsia="仿宋"/>
          <w:b w:val="0"/>
          <w:bCs w:val="0"/>
          <w:color w:val="auto"/>
          <w:highlight w:val="none"/>
        </w:rPr>
        <w:t>十、</w:t>
      </w:r>
      <w:bookmarkEnd w:id="64"/>
      <w:r>
        <w:rPr>
          <w:rFonts w:hint="eastAsia" w:ascii="仿宋" w:hAnsi="仿宋" w:eastAsia="仿宋"/>
          <w:b w:val="0"/>
          <w:color w:val="auto"/>
          <w:highlight w:val="none"/>
        </w:rPr>
        <w:t>政</w:t>
      </w:r>
      <w:r>
        <w:rPr>
          <w:rStyle w:val="28"/>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65" w:name="_Toc15396629"/>
      <w:r>
        <w:rPr>
          <w:rStyle w:val="28"/>
          <w:rFonts w:hint="eastAsia" w:ascii="仿宋" w:hAnsi="仿宋" w:eastAsia="仿宋"/>
          <w:b w:val="0"/>
          <w:bCs w:val="0"/>
          <w:color w:val="auto"/>
          <w:highlight w:val="none"/>
        </w:rPr>
        <w:t>十一、</w:t>
      </w:r>
      <w:bookmarkEnd w:id="65"/>
      <w:r>
        <w:rPr>
          <w:rFonts w:hint="eastAsia" w:ascii="仿宋" w:hAnsi="仿宋" w:eastAsia="仿宋"/>
          <w:b w:val="0"/>
          <w:color w:val="auto"/>
          <w:highlight w:val="none"/>
        </w:rPr>
        <w:t>国</w:t>
      </w:r>
      <w:r>
        <w:rPr>
          <w:rStyle w:val="28"/>
          <w:rFonts w:hint="eastAsia" w:ascii="仿宋" w:hAnsi="仿宋" w:eastAsia="仿宋"/>
          <w:b w:val="0"/>
          <w:bCs w:val="0"/>
          <w:color w:val="auto"/>
          <w:highlight w:val="none"/>
        </w:rPr>
        <w:t>有资本经营预算</w:t>
      </w:r>
      <w:r>
        <w:rPr>
          <w:rStyle w:val="28"/>
          <w:rFonts w:hint="eastAsia" w:ascii="仿宋" w:hAnsi="仿宋" w:eastAsia="仿宋"/>
          <w:b w:val="0"/>
          <w:bCs w:val="0"/>
          <w:color w:val="auto"/>
          <w:highlight w:val="none"/>
          <w:lang w:eastAsia="zh-CN"/>
        </w:rPr>
        <w:t>财政拨款收入</w:t>
      </w:r>
      <w:r>
        <w:rPr>
          <w:rStyle w:val="28"/>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6" w:name="_Toc15396630"/>
      <w:r>
        <w:rPr>
          <w:rStyle w:val="28"/>
          <w:rFonts w:hint="eastAsia" w:ascii="仿宋" w:hAnsi="仿宋" w:eastAsia="仿宋"/>
          <w:b w:val="0"/>
          <w:bCs w:val="0"/>
          <w:color w:val="auto"/>
          <w:highlight w:val="none"/>
        </w:rPr>
        <w:t>十二、</w:t>
      </w:r>
      <w:bookmarkEnd w:id="66"/>
      <w:r>
        <w:rPr>
          <w:rStyle w:val="28"/>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67" w:name="_Toc15396631"/>
      <w:r>
        <w:rPr>
          <w:rStyle w:val="28"/>
          <w:rFonts w:hint="eastAsia" w:ascii="仿宋" w:hAnsi="仿宋" w:eastAsia="仿宋"/>
          <w:b w:val="0"/>
          <w:bCs w:val="0"/>
          <w:color w:val="auto"/>
          <w:highlight w:val="none"/>
        </w:rPr>
        <w:t>十三、</w:t>
      </w:r>
      <w:bookmarkEnd w:id="67"/>
      <w:r>
        <w:rPr>
          <w:rStyle w:val="28"/>
          <w:rFonts w:hint="eastAsia" w:ascii="仿宋" w:hAnsi="仿宋" w:eastAsia="仿宋"/>
          <w:b w:val="0"/>
          <w:bCs w:val="0"/>
          <w:color w:val="auto"/>
          <w:highlight w:val="none"/>
          <w:lang w:eastAsia="zh-CN"/>
        </w:rPr>
        <w:t>财政拨款“三公”经费支出决算表</w:t>
      </w:r>
    </w:p>
    <w:sectPr>
      <w:pgSz w:w="11906" w:h="16838"/>
      <w:pgMar w:top="1440" w:right="1803" w:bottom="1440" w:left="1803" w:header="851" w:footer="992" w:gutter="0"/>
      <w:pgNumType w:fmt="decimal"/>
      <w:cols w:space="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2"/>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2"/>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eastAsia="宋体"/>
        <w:lang w:val="en-US" w:eastAsia="zh-CN"/>
      </w:rPr>
    </w:pPr>
    <w:r>
      <w:rPr>
        <w:rFonts w:hint="eastAsia"/>
        <w:lang w:val="en-US" w:eastAsia="zh-CN"/>
      </w:rPr>
      <w:t>18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posOffset>2412365</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9.95pt;margin-top:0pt;height:144pt;width:144pt;mso-position-horizontal-relative:margin;mso-wrap-style:none;z-index:251659264;mso-width-relative:page;mso-height-relative:page;" filled="f" stroked="f" coordsize="21600,21600" o:gfxdata="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iyA1NUAAAAI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BEF323"/>
    <w:multiLevelType w:val="singleLevel"/>
    <w:tmpl w:val="DEBEF323"/>
    <w:lvl w:ilvl="0" w:tentative="0">
      <w:start w:val="4"/>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FFF674BC"/>
    <w:multiLevelType w:val="singleLevel"/>
    <w:tmpl w:val="FFF674BC"/>
    <w:lvl w:ilvl="0" w:tentative="0">
      <w:start w:val="1"/>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WExMDIwMTAyNTlkY2I3MDQ0MGE2NzkwYzQ5NG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66E0107"/>
    <w:rsid w:val="07996F6E"/>
    <w:rsid w:val="0A2032A3"/>
    <w:rsid w:val="0E194D6D"/>
    <w:rsid w:val="0E681A17"/>
    <w:rsid w:val="0F98263C"/>
    <w:rsid w:val="101860EC"/>
    <w:rsid w:val="10C055FF"/>
    <w:rsid w:val="114535BD"/>
    <w:rsid w:val="118107EC"/>
    <w:rsid w:val="13D50BC4"/>
    <w:rsid w:val="16BB723D"/>
    <w:rsid w:val="19EF458D"/>
    <w:rsid w:val="1B06448B"/>
    <w:rsid w:val="1BE8440E"/>
    <w:rsid w:val="1BEF63CD"/>
    <w:rsid w:val="1D155CEE"/>
    <w:rsid w:val="1ECB1D80"/>
    <w:rsid w:val="1FF35744"/>
    <w:rsid w:val="21F726B1"/>
    <w:rsid w:val="22244B28"/>
    <w:rsid w:val="22AB4A04"/>
    <w:rsid w:val="23860B96"/>
    <w:rsid w:val="240371BF"/>
    <w:rsid w:val="24752EC5"/>
    <w:rsid w:val="29FD04D3"/>
    <w:rsid w:val="2A012BB2"/>
    <w:rsid w:val="2A7025A5"/>
    <w:rsid w:val="2B3079BC"/>
    <w:rsid w:val="2C846DA1"/>
    <w:rsid w:val="2C8A61B5"/>
    <w:rsid w:val="2DF04E50"/>
    <w:rsid w:val="2F040D46"/>
    <w:rsid w:val="319F7F4E"/>
    <w:rsid w:val="31C03884"/>
    <w:rsid w:val="3304709D"/>
    <w:rsid w:val="33A468ED"/>
    <w:rsid w:val="36AA5135"/>
    <w:rsid w:val="376D39B2"/>
    <w:rsid w:val="37E16F03"/>
    <w:rsid w:val="384B346A"/>
    <w:rsid w:val="38D469F0"/>
    <w:rsid w:val="3D98207C"/>
    <w:rsid w:val="3E136F99"/>
    <w:rsid w:val="3E78745D"/>
    <w:rsid w:val="3E7E5894"/>
    <w:rsid w:val="3EC37CCA"/>
    <w:rsid w:val="44E268DA"/>
    <w:rsid w:val="494D0099"/>
    <w:rsid w:val="4A627F82"/>
    <w:rsid w:val="4B0E749A"/>
    <w:rsid w:val="4B4F25DA"/>
    <w:rsid w:val="4BE068DB"/>
    <w:rsid w:val="4D577224"/>
    <w:rsid w:val="4E4B5067"/>
    <w:rsid w:val="4EAB630A"/>
    <w:rsid w:val="4ECE2238"/>
    <w:rsid w:val="504B29FB"/>
    <w:rsid w:val="537E6D0A"/>
    <w:rsid w:val="569E48CE"/>
    <w:rsid w:val="56F15537"/>
    <w:rsid w:val="5AF92295"/>
    <w:rsid w:val="5CD71FC4"/>
    <w:rsid w:val="606C3347"/>
    <w:rsid w:val="654900FB"/>
    <w:rsid w:val="668A0738"/>
    <w:rsid w:val="670643E3"/>
    <w:rsid w:val="69260824"/>
    <w:rsid w:val="6A141F50"/>
    <w:rsid w:val="6C4A05C8"/>
    <w:rsid w:val="6E7E3605"/>
    <w:rsid w:val="6FF5CC65"/>
    <w:rsid w:val="715C0E4B"/>
    <w:rsid w:val="72734D90"/>
    <w:rsid w:val="72B40FE1"/>
    <w:rsid w:val="738844E4"/>
    <w:rsid w:val="73AD73D5"/>
    <w:rsid w:val="73B6EB34"/>
    <w:rsid w:val="744731E5"/>
    <w:rsid w:val="74A06946"/>
    <w:rsid w:val="74B90B38"/>
    <w:rsid w:val="76E3355F"/>
    <w:rsid w:val="778769C8"/>
    <w:rsid w:val="78C31FE0"/>
    <w:rsid w:val="79EE5BA4"/>
    <w:rsid w:val="7A894339"/>
    <w:rsid w:val="7ADB210C"/>
    <w:rsid w:val="7EE01A96"/>
    <w:rsid w:val="7EEF11D3"/>
    <w:rsid w:val="7FA30C79"/>
    <w:rsid w:val="7FB7269E"/>
    <w:rsid w:val="7FC96657"/>
    <w:rsid w:val="7FD34B13"/>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7"/>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2"/>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3"/>
    <w:qFormat/>
    <w:uiPriority w:val="9"/>
    <w:rPr>
      <w:rFonts w:ascii="Times New Roman" w:hAnsi="Times New Roman"/>
      <w:b/>
      <w:bCs/>
      <w:kern w:val="44"/>
      <w:sz w:val="44"/>
      <w:szCs w:val="44"/>
    </w:rPr>
  </w:style>
  <w:style w:type="character" w:customStyle="1" w:styleId="28">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5"/>
    <w:link w:val="9"/>
    <w:semiHidden/>
    <w:qFormat/>
    <w:uiPriority w:val="99"/>
    <w:rPr>
      <w:rFonts w:ascii="Times New Roman" w:hAnsi="Times New Roman"/>
      <w:kern w:val="2"/>
      <w:sz w:val="18"/>
      <w:szCs w:val="18"/>
    </w:rPr>
  </w:style>
  <w:style w:type="character" w:customStyle="1" w:styleId="31">
    <w:name w:val="标题 3 Char"/>
    <w:basedOn w:val="15"/>
    <w:link w:val="5"/>
    <w:qFormat/>
    <w:uiPriority w:val="9"/>
    <w:rPr>
      <w:rFonts w:ascii="Times New Roman" w:hAnsi="Times New Roman"/>
      <w:b/>
      <w:bCs/>
      <w:kern w:val="2"/>
      <w:sz w:val="32"/>
      <w:szCs w:val="32"/>
    </w:rPr>
  </w:style>
  <w:style w:type="paragraph" w:customStyle="1" w:styleId="32">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2022</a:t>
            </a:r>
            <a:r>
              <a:rPr altLang="en-US"/>
              <a:t>年</a:t>
            </a:r>
            <a:r>
              <a:rPr altLang="zh-CN"/>
              <a:t>支出决算结构图</a:t>
            </a:r>
            <a:endParaRPr altLang="zh-CN"/>
          </a:p>
        </c:rich>
      </c:tx>
      <c:layout/>
      <c:overlay val="0"/>
      <c:spPr>
        <a:noFill/>
        <a:ln>
          <a:noFill/>
        </a:ln>
        <a:effectLst/>
      </c:spPr>
    </c:title>
    <c:autoTitleDeleted val="0"/>
    <c:plotArea>
      <c:layout>
        <c:manualLayout>
          <c:layoutTarget val="inner"/>
          <c:xMode val="edge"/>
          <c:yMode val="edge"/>
          <c:x val="0.298067413404152"/>
          <c:y val="0.199134199134199"/>
          <c:w val="0.411575273422998"/>
          <c:h val="0.693263804713804"/>
        </c:manualLayout>
      </c:layout>
      <c:pieChart>
        <c:varyColors val="1"/>
        <c:ser>
          <c:idx val="0"/>
          <c:order val="0"/>
          <c:tx>
            <c:strRef>
              <c:f>Sheet1!$B$1</c:f>
              <c:strCache>
                <c:ptCount val="1"/>
                <c:pt idx="0">
                  <c:v>销售额</c:v>
                </c:pt>
              </c:strCache>
            </c:strRef>
          </c:tx>
          <c:spPr>
            <a:solidFill>
              <a:srgbClr val="63B1EF">
                <a:alpha val="67000"/>
              </a:srgbClr>
            </a:solidFill>
            <a:ln w="19050" cap="rnd">
              <a:noFill/>
              <a:round/>
            </a:ln>
            <a:effectLst/>
          </c:spPr>
          <c:explosion val="0"/>
          <c:dPt>
            <c:idx val="0"/>
            <c:bubble3D val="0"/>
            <c:spPr>
              <a:solidFill>
                <a:srgbClr val="63B1EF">
                  <a:alpha val="67000"/>
                </a:srgbClr>
              </a:solidFill>
              <a:ln w="19050" cap="rnd">
                <a:noFill/>
                <a:round/>
              </a:ln>
              <a:effectLst/>
            </c:spPr>
          </c:dPt>
          <c:dPt>
            <c:idx val="1"/>
            <c:bubble3D val="0"/>
            <c:spPr>
              <a:solidFill>
                <a:srgbClr val="75D890">
                  <a:alpha val="67000"/>
                </a:srgbClr>
              </a:solidFill>
              <a:ln w="19050" cap="rnd">
                <a:noFill/>
                <a:round/>
              </a:ln>
              <a:effectLst/>
            </c:spPr>
          </c:dPt>
          <c:dPt>
            <c:idx val="2"/>
            <c:bubble3D val="0"/>
            <c:spPr>
              <a:solidFill>
                <a:srgbClr val="FB7E72">
                  <a:alpha val="67000"/>
                </a:srgbClr>
              </a:solidFill>
              <a:ln w="19050" cap="rnd">
                <a:noFill/>
                <a:round/>
              </a:ln>
              <a:effectLst/>
            </c:spPr>
          </c:dPt>
          <c:dPt>
            <c:idx val="3"/>
            <c:bubble3D val="0"/>
            <c:spPr>
              <a:solidFill>
                <a:srgbClr val="F8AC41">
                  <a:alpha val="67000"/>
                </a:srgbClr>
              </a:solidFill>
              <a:ln w="19050" cap="rnd">
                <a:noFill/>
                <a:round/>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 </c:v>
                </c:pt>
                <c:pt idx="1">
                  <c:v>项目支出</c:v>
                </c:pt>
              </c:strCache>
            </c:strRef>
          </c:cat>
          <c:val>
            <c:numRef>
              <c:f>Sheet1!$B$2:$B$5</c:f>
              <c:numCache>
                <c:formatCode>General</c:formatCode>
                <c:ptCount val="4"/>
                <c:pt idx="0">
                  <c:v>72</c:v>
                </c:pt>
                <c:pt idx="1">
                  <c:v>28</c:v>
                </c:pt>
              </c:numCache>
            </c:numRef>
          </c:val>
        </c:ser>
        <c:dLbls>
          <c:showLegendKey val="0"/>
          <c:showVal val="0"/>
          <c:showCatName val="1"/>
          <c:showSerName val="0"/>
          <c:showPercent val="1"/>
          <c:showBubbleSize val="0"/>
          <c:showLeaderLines val="1"/>
        </c:dLbls>
        <c:firstSliceAng val="0"/>
      </c:pieChart>
      <c:spPr>
        <a:pattFill prst="lgGrid">
          <a:fgClr>
            <a:srgbClr val="F8F8F8"/>
          </a:fgClr>
          <a:bgClr>
            <a:schemeClr val="bg1"/>
          </a:bgClr>
        </a:pattFill>
        <a:ln>
          <a:solidFill>
            <a:schemeClr val="bg1">
              <a:lumMod val="95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一般公共预算财政拨款支出决算结构图</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基本养老保险支出</c:v>
                </c:pt>
                <c:pt idx="1">
                  <c:v>行政运行</c:v>
                </c:pt>
                <c:pt idx="2">
                  <c:v>其他红十字事业支出</c:v>
                </c:pt>
              </c:strCache>
            </c:strRef>
          </c:cat>
          <c:val>
            <c:numRef>
              <c:f>Sheet1!$B$2:$B$5</c:f>
              <c:numCache>
                <c:formatCode>General</c:formatCode>
                <c:ptCount val="4"/>
                <c:pt idx="0">
                  <c:v>1</c:v>
                </c:pt>
                <c:pt idx="1">
                  <c:v>71</c:v>
                </c:pt>
                <c:pt idx="2">
                  <c:v>28</c:v>
                </c:pt>
              </c:numCache>
            </c:numRef>
          </c:val>
        </c:ser>
        <c:dLbls>
          <c:showLegendKey val="0"/>
          <c:showVal val="1"/>
          <c:showCatName val="0"/>
          <c:showSerName val="0"/>
          <c:showPercent val="0"/>
          <c:showBubbleSize val="0"/>
          <c:showLeaderLines val="1"/>
        </c:dLbls>
        <c:firstSliceAng val="36"/>
      </c:pieChart>
      <c:spPr>
        <a:noFill/>
        <a:ln>
          <a:noFill/>
        </a:ln>
        <a:effectLst/>
      </c:spPr>
    </c:plotArea>
    <c:legend>
      <c:legendPos val="b"/>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7451</Words>
  <Characters>7904</Characters>
  <Lines>61</Lines>
  <Paragraphs>17</Paragraphs>
  <TotalTime>13</TotalTime>
  <ScaleCrop>false</ScaleCrop>
  <LinksUpToDate>false</LinksUpToDate>
  <CharactersWithSpaces>7927</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Schatz。</cp:lastModifiedBy>
  <cp:lastPrinted>2023-10-13T02:57:07Z</cp:lastPrinted>
  <dcterms:modified xsi:type="dcterms:W3CDTF">2023-10-13T03:02:33Z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FA522A1F07944B5A8B3FF9651125F79C</vt:lpwstr>
  </property>
</Properties>
</file>